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6354" w14:textId="77777777" w:rsidR="00F369AE" w:rsidRDefault="00F369AE" w:rsidP="006C0D70">
      <w:pPr>
        <w:jc w:val="center"/>
        <w:rPr>
          <w:b/>
          <w:bCs/>
          <w:sz w:val="28"/>
          <w:szCs w:val="28"/>
        </w:rPr>
      </w:pPr>
    </w:p>
    <w:p w14:paraId="2F16B551" w14:textId="15B22104" w:rsidR="006C0D70" w:rsidRPr="00B0004F" w:rsidRDefault="006C0D70" w:rsidP="006C0D70">
      <w:pPr>
        <w:jc w:val="center"/>
        <w:rPr>
          <w:b/>
          <w:bCs/>
          <w:sz w:val="28"/>
          <w:szCs w:val="28"/>
        </w:rPr>
      </w:pPr>
      <w:r w:rsidRPr="00B0004F">
        <w:rPr>
          <w:b/>
          <w:bCs/>
          <w:sz w:val="28"/>
          <w:szCs w:val="28"/>
        </w:rPr>
        <w:t>AI’s Promise and Peril: Building Responsible Intelligence for Inclusive Finance</w:t>
      </w:r>
      <w:r>
        <w:rPr>
          <w:b/>
          <w:bCs/>
          <w:sz w:val="28"/>
          <w:szCs w:val="28"/>
        </w:rPr>
        <w:t>:</w:t>
      </w:r>
      <w:r w:rsidRPr="00B0004F">
        <w:rPr>
          <w:b/>
          <w:bCs/>
          <w:sz w:val="28"/>
          <w:szCs w:val="28"/>
        </w:rPr>
        <w:t xml:space="preserve"> Shri Ajay Kumar Choudhary, Non-Executive Chairman and Independent Director, NPCI at GFF 2025</w:t>
      </w:r>
    </w:p>
    <w:p w14:paraId="726CBD28" w14:textId="77777777" w:rsidR="007B1CDB" w:rsidRDefault="007B1CDB" w:rsidP="006C0D70">
      <w:pPr>
        <w:spacing w:line="360" w:lineRule="auto"/>
        <w:jc w:val="both"/>
        <w:rPr>
          <w:b/>
          <w:bCs/>
          <w:sz w:val="21"/>
          <w:szCs w:val="21"/>
        </w:rPr>
      </w:pPr>
    </w:p>
    <w:p w14:paraId="1536BA26" w14:textId="2F087491" w:rsidR="006C0D70" w:rsidRPr="007305BE" w:rsidRDefault="006C0D70" w:rsidP="006C0D70">
      <w:pPr>
        <w:spacing w:line="360" w:lineRule="auto"/>
        <w:jc w:val="both"/>
        <w:rPr>
          <w:sz w:val="21"/>
          <w:szCs w:val="21"/>
        </w:rPr>
      </w:pPr>
      <w:r w:rsidRPr="007305BE">
        <w:rPr>
          <w:b/>
          <w:bCs/>
          <w:sz w:val="21"/>
          <w:szCs w:val="21"/>
        </w:rPr>
        <w:t>Mumbai, 7 October 2025:</w:t>
      </w:r>
      <w:r w:rsidRPr="007305BE">
        <w:rPr>
          <w:sz w:val="21"/>
          <w:szCs w:val="21"/>
        </w:rPr>
        <w:t xml:space="preserve"> </w:t>
      </w:r>
      <w:r w:rsidRPr="007305BE">
        <w:rPr>
          <w:i/>
          <w:iCs/>
          <w:sz w:val="21"/>
          <w:szCs w:val="21"/>
        </w:rPr>
        <w:t>“Artificial intelligence has moved from the margins to the mainstream. It is reshaping how we design, deliver, and experience financial services, opening doors for efficiency, inclusion, and resilience,”</w:t>
      </w:r>
      <w:r w:rsidRPr="007305BE">
        <w:rPr>
          <w:sz w:val="21"/>
          <w:szCs w:val="21"/>
        </w:rPr>
        <w:t xml:space="preserve"> said </w:t>
      </w:r>
      <w:r w:rsidRPr="007305BE">
        <w:rPr>
          <w:b/>
          <w:bCs/>
          <w:sz w:val="21"/>
          <w:szCs w:val="21"/>
        </w:rPr>
        <w:t>Shri Ajay Kumar Choudhary, Non-Executive Chairman and Independent Director, National Payments Corporation of India (NPCI),</w:t>
      </w:r>
      <w:r w:rsidRPr="007305BE">
        <w:rPr>
          <w:sz w:val="21"/>
          <w:szCs w:val="21"/>
        </w:rPr>
        <w:t xml:space="preserve"> delivering his special keynote address at the 6th Global FinTech Fest (GFF) 2025 in Mumbai.</w:t>
      </w:r>
    </w:p>
    <w:p w14:paraId="6F8FEF7C" w14:textId="77777777" w:rsidR="006C0D70" w:rsidRPr="007305BE" w:rsidRDefault="006C0D70" w:rsidP="006C0D70">
      <w:pPr>
        <w:spacing w:line="360" w:lineRule="auto"/>
        <w:jc w:val="both"/>
        <w:rPr>
          <w:sz w:val="21"/>
          <w:szCs w:val="21"/>
        </w:rPr>
      </w:pPr>
      <w:r w:rsidRPr="007305BE">
        <w:rPr>
          <w:sz w:val="21"/>
          <w:szCs w:val="21"/>
        </w:rPr>
        <w:t xml:space="preserve">Speaking on the theme </w:t>
      </w:r>
      <w:r w:rsidRPr="007305BE">
        <w:rPr>
          <w:b/>
          <w:bCs/>
          <w:sz w:val="21"/>
          <w:szCs w:val="21"/>
        </w:rPr>
        <w:t>“AI’s Promise and Peril: Building Responsible Intelligence for Inclusive Finance”</w:t>
      </w:r>
      <w:r w:rsidRPr="007305BE">
        <w:rPr>
          <w:sz w:val="21"/>
          <w:szCs w:val="21"/>
        </w:rPr>
        <w:t xml:space="preserve">, Shri Choudhary </w:t>
      </w:r>
      <w:proofErr w:type="spellStart"/>
      <w:r w:rsidRPr="007305BE">
        <w:rPr>
          <w:sz w:val="21"/>
          <w:szCs w:val="21"/>
        </w:rPr>
        <w:t>emphasised</w:t>
      </w:r>
      <w:proofErr w:type="spellEnd"/>
      <w:r w:rsidRPr="007305BE">
        <w:rPr>
          <w:sz w:val="21"/>
          <w:szCs w:val="21"/>
        </w:rPr>
        <w:t xml:space="preserve"> that while AI unlocks unprecedented opportunities, it also introduces complex challenges that demand prudent governance and cross-border collaboration.</w:t>
      </w:r>
    </w:p>
    <w:p w14:paraId="7FE36446" w14:textId="77777777" w:rsidR="006C0D70" w:rsidRPr="007305BE" w:rsidRDefault="006C0D70" w:rsidP="006C0D70">
      <w:pPr>
        <w:spacing w:line="360" w:lineRule="auto"/>
        <w:jc w:val="both"/>
        <w:rPr>
          <w:sz w:val="21"/>
          <w:szCs w:val="21"/>
        </w:rPr>
      </w:pPr>
      <w:r w:rsidRPr="007305BE">
        <w:rPr>
          <w:sz w:val="21"/>
          <w:szCs w:val="21"/>
        </w:rPr>
        <w:t xml:space="preserve">He noted that investment in </w:t>
      </w:r>
      <w:r w:rsidRPr="007305BE">
        <w:rPr>
          <w:b/>
          <w:bCs/>
          <w:sz w:val="21"/>
          <w:szCs w:val="21"/>
        </w:rPr>
        <w:t>AI across banking, insurance, capital markets and payments is expected to reach nearly USD 100 billion by 2027</w:t>
      </w:r>
      <w:r w:rsidRPr="007305BE">
        <w:rPr>
          <w:sz w:val="21"/>
          <w:szCs w:val="21"/>
        </w:rPr>
        <w:t xml:space="preserve">, with 78% of financial </w:t>
      </w:r>
      <w:proofErr w:type="spellStart"/>
      <w:r w:rsidRPr="007305BE">
        <w:rPr>
          <w:sz w:val="21"/>
          <w:szCs w:val="21"/>
        </w:rPr>
        <w:t>organisations</w:t>
      </w:r>
      <w:proofErr w:type="spellEnd"/>
      <w:r w:rsidRPr="007305BE">
        <w:rPr>
          <w:sz w:val="21"/>
          <w:szCs w:val="21"/>
        </w:rPr>
        <w:t xml:space="preserve"> already deploying AI in at least one function, a sharp rise from 55% in 2023. “</w:t>
      </w:r>
      <w:r w:rsidRPr="007305BE">
        <w:rPr>
          <w:i/>
          <w:iCs/>
          <w:sz w:val="21"/>
          <w:szCs w:val="21"/>
        </w:rPr>
        <w:t>The industry is no longer debating if AI will matter, it is preparing for how far and how fast it will take us. The real question is whether we harness this power carefully.”</w:t>
      </w:r>
      <w:r w:rsidRPr="007305BE">
        <w:rPr>
          <w:sz w:val="21"/>
          <w:szCs w:val="21"/>
        </w:rPr>
        <w:t xml:space="preserve"> he said.</w:t>
      </w:r>
    </w:p>
    <w:p w14:paraId="518AD7ED" w14:textId="77777777" w:rsidR="006C0D70" w:rsidRDefault="006C0D70" w:rsidP="006C0D70">
      <w:pPr>
        <w:spacing w:line="360" w:lineRule="auto"/>
        <w:jc w:val="both"/>
        <w:rPr>
          <w:sz w:val="21"/>
          <w:szCs w:val="21"/>
        </w:rPr>
      </w:pPr>
      <w:r w:rsidRPr="007305BE">
        <w:rPr>
          <w:sz w:val="21"/>
          <w:szCs w:val="21"/>
        </w:rPr>
        <w:t xml:space="preserve">Highlighting two critical dimensions of the AI revolution, </w:t>
      </w:r>
      <w:r w:rsidRPr="007305BE">
        <w:rPr>
          <w:b/>
          <w:bCs/>
          <w:sz w:val="21"/>
          <w:szCs w:val="21"/>
        </w:rPr>
        <w:t>Generative AI, which creates and analyses at scale, and Agentic AI, which can autonomously pursue complex tasks</w:t>
      </w:r>
      <w:r w:rsidRPr="007305BE">
        <w:rPr>
          <w:sz w:val="21"/>
          <w:szCs w:val="21"/>
        </w:rPr>
        <w:t xml:space="preserve">, Shri Choudhary underlined their transformative potential for fraud detection, compliance automation, trading precision and customer engagement. Early studies suggest global banks could see productivity gains of </w:t>
      </w:r>
      <w:r w:rsidRPr="007305BE">
        <w:rPr>
          <w:b/>
          <w:bCs/>
          <w:sz w:val="21"/>
          <w:szCs w:val="21"/>
        </w:rPr>
        <w:t>USD 200–340 billion annually</w:t>
      </w:r>
      <w:r w:rsidRPr="007305BE">
        <w:rPr>
          <w:sz w:val="21"/>
          <w:szCs w:val="21"/>
        </w:rPr>
        <w:t xml:space="preserve"> through these technologies.</w:t>
      </w:r>
    </w:p>
    <w:p w14:paraId="568A7ABC" w14:textId="77777777" w:rsidR="006C0D70" w:rsidRPr="007305BE" w:rsidRDefault="006C0D70" w:rsidP="006C0D70">
      <w:pPr>
        <w:spacing w:line="360" w:lineRule="auto"/>
        <w:jc w:val="both"/>
        <w:rPr>
          <w:sz w:val="21"/>
          <w:szCs w:val="21"/>
        </w:rPr>
      </w:pPr>
      <w:r w:rsidRPr="007305BE">
        <w:rPr>
          <w:sz w:val="21"/>
          <w:szCs w:val="21"/>
        </w:rPr>
        <w:t xml:space="preserve">At the same time, he cautioned against </w:t>
      </w:r>
      <w:r w:rsidRPr="007305BE">
        <w:rPr>
          <w:b/>
          <w:bCs/>
          <w:sz w:val="21"/>
          <w:szCs w:val="21"/>
        </w:rPr>
        <w:t>AI-driven vulnerabilities</w:t>
      </w:r>
      <w:r w:rsidRPr="007305BE">
        <w:rPr>
          <w:sz w:val="21"/>
          <w:szCs w:val="21"/>
        </w:rPr>
        <w:t xml:space="preserve">, including model bias, explainability gaps, concentration risks and systemic dependencies across infrastructure layers from </w:t>
      </w:r>
      <w:proofErr w:type="spellStart"/>
      <w:r w:rsidRPr="007305BE">
        <w:rPr>
          <w:sz w:val="21"/>
          <w:szCs w:val="21"/>
        </w:rPr>
        <w:t>specialised</w:t>
      </w:r>
      <w:proofErr w:type="spellEnd"/>
      <w:r w:rsidRPr="007305BE">
        <w:rPr>
          <w:sz w:val="21"/>
          <w:szCs w:val="21"/>
        </w:rPr>
        <w:t xml:space="preserve"> chips to cloud, data and large foundation models. Global standard-setting bodies like the Basel Committee, IMF and BIS have warned of potential amplification of financial cycles and systemic risks if AI adoption remains unchecked.</w:t>
      </w:r>
    </w:p>
    <w:p w14:paraId="19935DC2" w14:textId="77777777" w:rsidR="006C0D70" w:rsidRPr="002E6471" w:rsidRDefault="006C0D70" w:rsidP="006C0D70">
      <w:pPr>
        <w:spacing w:line="360" w:lineRule="auto"/>
        <w:jc w:val="both"/>
        <w:rPr>
          <w:b/>
          <w:bCs/>
          <w:color w:val="000000" w:themeColor="text1"/>
          <w:sz w:val="21"/>
          <w:szCs w:val="21"/>
        </w:rPr>
      </w:pPr>
      <w:r w:rsidRPr="002E6471">
        <w:rPr>
          <w:color w:val="000000" w:themeColor="text1"/>
          <w:sz w:val="21"/>
          <w:szCs w:val="21"/>
        </w:rPr>
        <w:t xml:space="preserve">A key strategic priority flagged by Shri Choudhary was the </w:t>
      </w:r>
      <w:r w:rsidRPr="002E6471">
        <w:rPr>
          <w:b/>
          <w:bCs/>
          <w:color w:val="000000" w:themeColor="text1"/>
          <w:sz w:val="21"/>
          <w:szCs w:val="21"/>
        </w:rPr>
        <w:t>concentration risk in AI infrastructure</w:t>
      </w:r>
      <w:r w:rsidRPr="002E6471">
        <w:rPr>
          <w:color w:val="000000" w:themeColor="text1"/>
          <w:sz w:val="21"/>
          <w:szCs w:val="21"/>
        </w:rPr>
        <w:t xml:space="preserve">. He explained that the AI ecosystem rests on five inter-dependent layers i.e. </w:t>
      </w:r>
      <w:proofErr w:type="spellStart"/>
      <w:r w:rsidRPr="002E6471">
        <w:rPr>
          <w:color w:val="000000" w:themeColor="text1"/>
          <w:sz w:val="21"/>
          <w:szCs w:val="21"/>
        </w:rPr>
        <w:t>specialised</w:t>
      </w:r>
      <w:proofErr w:type="spellEnd"/>
      <w:r w:rsidRPr="002E6471">
        <w:rPr>
          <w:color w:val="000000" w:themeColor="text1"/>
          <w:sz w:val="21"/>
          <w:szCs w:val="21"/>
        </w:rPr>
        <w:t xml:space="preserve"> chips, cloud platforms, vast datasets, foundation models and end-user applications. Today, one company produces about 90% of advanced processors, three firms control most global cloud capacity, and only a handful of entities dominate foundation models. Such systemic </w:t>
      </w:r>
      <w:r w:rsidRPr="002E6471">
        <w:rPr>
          <w:color w:val="000000" w:themeColor="text1"/>
          <w:sz w:val="21"/>
          <w:szCs w:val="21"/>
        </w:rPr>
        <w:lastRenderedPageBreak/>
        <w:t xml:space="preserve">dependencies, he cautioned, affect not only financial resilience but also economic sovereignty and national security, and must be addressed proactively through </w:t>
      </w:r>
      <w:r w:rsidRPr="002E6471">
        <w:rPr>
          <w:b/>
          <w:bCs/>
          <w:color w:val="000000" w:themeColor="text1"/>
          <w:sz w:val="21"/>
          <w:szCs w:val="21"/>
        </w:rPr>
        <w:t xml:space="preserve">diversification and robust governance. </w:t>
      </w:r>
    </w:p>
    <w:p w14:paraId="45809EB0" w14:textId="77777777" w:rsidR="006C0D70" w:rsidRPr="007305BE" w:rsidRDefault="006C0D70" w:rsidP="006C0D70">
      <w:pPr>
        <w:spacing w:line="360" w:lineRule="auto"/>
        <w:jc w:val="both"/>
        <w:rPr>
          <w:sz w:val="21"/>
          <w:szCs w:val="21"/>
        </w:rPr>
      </w:pPr>
      <w:r w:rsidRPr="007305BE">
        <w:rPr>
          <w:sz w:val="21"/>
          <w:szCs w:val="21"/>
        </w:rPr>
        <w:t>“</w:t>
      </w:r>
      <w:r w:rsidRPr="007305BE">
        <w:rPr>
          <w:i/>
          <w:iCs/>
          <w:sz w:val="21"/>
          <w:szCs w:val="21"/>
        </w:rPr>
        <w:t>This is why responsible AI is not a slogan. It is the only way forward,</w:t>
      </w:r>
      <w:r w:rsidRPr="007305BE">
        <w:rPr>
          <w:sz w:val="21"/>
          <w:szCs w:val="21"/>
        </w:rPr>
        <w:t xml:space="preserve">” he said, </w:t>
      </w:r>
      <w:r w:rsidRPr="007305BE">
        <w:rPr>
          <w:b/>
          <w:bCs/>
          <w:sz w:val="21"/>
          <w:szCs w:val="21"/>
        </w:rPr>
        <w:t>urging domestic and international collaboration to diversify dependencies, strengthen data governance, and ensure resilience in an AI-driven era.</w:t>
      </w:r>
    </w:p>
    <w:p w14:paraId="72549D27" w14:textId="77777777" w:rsidR="006C0D70" w:rsidRPr="007305BE" w:rsidRDefault="006C0D70" w:rsidP="006C0D70">
      <w:pPr>
        <w:spacing w:line="360" w:lineRule="auto"/>
        <w:jc w:val="both"/>
        <w:rPr>
          <w:sz w:val="21"/>
          <w:szCs w:val="21"/>
        </w:rPr>
      </w:pPr>
      <w:r w:rsidRPr="007305BE">
        <w:rPr>
          <w:sz w:val="21"/>
          <w:szCs w:val="21"/>
        </w:rPr>
        <w:t xml:space="preserve">Shri Choudhary also spotlighted </w:t>
      </w:r>
      <w:r w:rsidRPr="007305BE">
        <w:rPr>
          <w:b/>
          <w:bCs/>
          <w:sz w:val="21"/>
          <w:szCs w:val="21"/>
        </w:rPr>
        <w:t>India’s leadership in inclusive innovation, citing the transformative scale of the Unified Payments Interface (UPI), now processing over 20 billion transactions a month.</w:t>
      </w:r>
      <w:r w:rsidRPr="007305BE">
        <w:rPr>
          <w:sz w:val="21"/>
          <w:szCs w:val="21"/>
        </w:rPr>
        <w:t xml:space="preserve"> He showcased NPCI’s initiatives such as ‘UPI Lite’ for low-bandwidth regions, ‘UPI for Her’ empowering women entrepreneurs, and ‘UPI 123Pay’ enabling feature phone users. NPCI’s federated AI models are being piloted to combat fraud without sharing sensitive data, while real-time mule account detection is strengthening payment integrity.</w:t>
      </w:r>
    </w:p>
    <w:p w14:paraId="331DCB7E" w14:textId="77777777" w:rsidR="006C0D70" w:rsidRPr="007305BE" w:rsidRDefault="006C0D70" w:rsidP="006C0D70">
      <w:pPr>
        <w:spacing w:line="360" w:lineRule="auto"/>
        <w:jc w:val="both"/>
        <w:rPr>
          <w:sz w:val="21"/>
          <w:szCs w:val="21"/>
        </w:rPr>
      </w:pPr>
      <w:r w:rsidRPr="007305BE">
        <w:rPr>
          <w:sz w:val="21"/>
          <w:szCs w:val="21"/>
        </w:rPr>
        <w:t xml:space="preserve">He further shared NPCI’s vision to support sovereign, interoperable real-time payment systems through NPCI International, expand UPI and RuPay acceptance globally, and build affordable, secure cross-border remittance corridors aligned with G20 objective. He also announced upcoming digital payment innovations to enhance security, transparency and ease of use, including the launch of Bharat </w:t>
      </w:r>
      <w:proofErr w:type="spellStart"/>
      <w:r w:rsidRPr="007305BE">
        <w:rPr>
          <w:sz w:val="21"/>
          <w:szCs w:val="21"/>
        </w:rPr>
        <w:t>Connect’s</w:t>
      </w:r>
      <w:proofErr w:type="spellEnd"/>
      <w:r w:rsidRPr="007305BE">
        <w:rPr>
          <w:sz w:val="21"/>
          <w:szCs w:val="21"/>
        </w:rPr>
        <w:t xml:space="preserve"> Internet &amp; Mobile Banking Platform (IBMB) to </w:t>
      </w:r>
      <w:proofErr w:type="spellStart"/>
      <w:r w:rsidRPr="007305BE">
        <w:rPr>
          <w:sz w:val="21"/>
          <w:szCs w:val="21"/>
        </w:rPr>
        <w:t>standardise</w:t>
      </w:r>
      <w:proofErr w:type="spellEnd"/>
      <w:r w:rsidRPr="007305BE">
        <w:rPr>
          <w:sz w:val="21"/>
          <w:szCs w:val="21"/>
        </w:rPr>
        <w:t xml:space="preserve"> merchant payments across online channels. He highlighted NPCI Tech Solutions Ltd. (NTSL) as a new hub for deep-tech experimentation and breakthrough innovation.</w:t>
      </w:r>
    </w:p>
    <w:p w14:paraId="19147106" w14:textId="77777777" w:rsidR="006C0D70" w:rsidRPr="007305BE" w:rsidRDefault="006C0D70" w:rsidP="006C0D70">
      <w:pPr>
        <w:spacing w:line="360" w:lineRule="auto"/>
        <w:jc w:val="both"/>
        <w:rPr>
          <w:sz w:val="21"/>
          <w:szCs w:val="21"/>
        </w:rPr>
      </w:pPr>
      <w:r w:rsidRPr="007305BE">
        <w:rPr>
          <w:sz w:val="21"/>
          <w:szCs w:val="21"/>
        </w:rPr>
        <w:t xml:space="preserve">Concluding his address, Shri Choudhary called for a </w:t>
      </w:r>
      <w:r w:rsidRPr="007305BE">
        <w:rPr>
          <w:b/>
          <w:bCs/>
          <w:sz w:val="21"/>
          <w:szCs w:val="21"/>
        </w:rPr>
        <w:t>human-first approach to AI</w:t>
      </w:r>
      <w:r w:rsidRPr="007305BE">
        <w:rPr>
          <w:sz w:val="21"/>
          <w:szCs w:val="21"/>
        </w:rPr>
        <w:t xml:space="preserve"> in finance. “The true test of AI will be whether it strengthens stability rather than weakens it. It should be harnessed to make finance more stable, not more fragile. It must become a tool of resilience, not a trigger of instability. That is the responsibility we share. If we apply it with vision, discipline, and responsibility, it can widen access, build resilience, and make growth more inclusive. If we neglect these duties, it may magnify the very vulnerabilities we seek to avoid,” he said.</w:t>
      </w:r>
    </w:p>
    <w:p w14:paraId="192DF946" w14:textId="77777777" w:rsidR="00AC1CAA" w:rsidRDefault="00AC1CAA" w:rsidP="00422A28">
      <w:pPr>
        <w:spacing w:after="160" w:line="256" w:lineRule="auto"/>
        <w:jc w:val="both"/>
        <w:rPr>
          <w:rFonts w:ascii="Calibri" w:eastAsia="Cambria" w:hAnsi="Calibri" w:cs="Calibri"/>
          <w:b/>
        </w:rPr>
      </w:pPr>
    </w:p>
    <w:p w14:paraId="6327AA3E" w14:textId="064C6C26" w:rsidR="00AC1CAA" w:rsidRDefault="00AC1CAA" w:rsidP="00422A28">
      <w:pPr>
        <w:spacing w:after="160" w:line="256" w:lineRule="auto"/>
        <w:jc w:val="both"/>
        <w:rPr>
          <w:rFonts w:ascii="Calibri" w:eastAsia="Cambria" w:hAnsi="Calibri" w:cs="Calibri"/>
          <w:b/>
        </w:rPr>
      </w:pPr>
      <w:r>
        <w:rPr>
          <w:rFonts w:ascii="Calibri" w:eastAsia="Cambria" w:hAnsi="Calibri" w:cs="Calibri"/>
          <w:b/>
        </w:rPr>
        <w:t>-------------------------------------</w:t>
      </w:r>
    </w:p>
    <w:p w14:paraId="64F485BC" w14:textId="77777777" w:rsidR="007B1CDB" w:rsidRDefault="007B1CDB" w:rsidP="00AC1CAA">
      <w:pPr>
        <w:jc w:val="both"/>
        <w:rPr>
          <w:rFonts w:ascii="Garamond" w:eastAsia="Garamond" w:hAnsi="Garamond" w:cs="Garamond"/>
        </w:rPr>
      </w:pPr>
    </w:p>
    <w:p w14:paraId="16C83758" w14:textId="77777777" w:rsidR="007B1CDB" w:rsidRDefault="007B1CDB" w:rsidP="00AC1CAA">
      <w:pPr>
        <w:jc w:val="both"/>
        <w:rPr>
          <w:rFonts w:ascii="Garamond" w:eastAsia="Garamond" w:hAnsi="Garamond" w:cs="Garamond"/>
        </w:rPr>
      </w:pPr>
    </w:p>
    <w:p w14:paraId="09F6D6B7" w14:textId="77777777" w:rsidR="007B1CDB" w:rsidRDefault="007B1CDB" w:rsidP="00AC1CAA">
      <w:pPr>
        <w:jc w:val="both"/>
        <w:rPr>
          <w:rFonts w:ascii="Garamond" w:eastAsia="Garamond" w:hAnsi="Garamond" w:cs="Garamond"/>
        </w:rPr>
      </w:pPr>
    </w:p>
    <w:p w14:paraId="287DD6E8" w14:textId="77777777" w:rsidR="007B1CDB" w:rsidRDefault="007B1CDB" w:rsidP="00AC1CAA">
      <w:pPr>
        <w:jc w:val="both"/>
        <w:rPr>
          <w:rFonts w:ascii="Garamond" w:eastAsia="Garamond" w:hAnsi="Garamond" w:cs="Garamond"/>
        </w:rPr>
      </w:pPr>
    </w:p>
    <w:p w14:paraId="672FD35B" w14:textId="77777777" w:rsidR="007B1CDB" w:rsidRDefault="007B1CDB" w:rsidP="00AC1CAA">
      <w:pPr>
        <w:jc w:val="both"/>
        <w:rPr>
          <w:rFonts w:ascii="Garamond" w:eastAsia="Garamond" w:hAnsi="Garamond" w:cs="Garamond"/>
        </w:rPr>
      </w:pPr>
    </w:p>
    <w:p w14:paraId="262D5654" w14:textId="77777777" w:rsidR="007B1CDB" w:rsidRDefault="007B1CDB" w:rsidP="00AC1CAA">
      <w:pPr>
        <w:jc w:val="both"/>
        <w:rPr>
          <w:rFonts w:ascii="Garamond" w:eastAsia="Garamond" w:hAnsi="Garamond" w:cs="Garamond"/>
        </w:rPr>
      </w:pPr>
    </w:p>
    <w:p w14:paraId="515D20CA" w14:textId="77777777" w:rsidR="007B1CDB" w:rsidRDefault="007B1CDB" w:rsidP="00AC1CAA">
      <w:pPr>
        <w:jc w:val="both"/>
        <w:rPr>
          <w:rFonts w:ascii="Garamond" w:eastAsia="Garamond" w:hAnsi="Garamond" w:cs="Garamond"/>
        </w:rPr>
      </w:pPr>
    </w:p>
    <w:p w14:paraId="6276C69F" w14:textId="77777777" w:rsidR="007B1CDB" w:rsidRDefault="007B1CDB" w:rsidP="00AC1CAA">
      <w:pPr>
        <w:jc w:val="both"/>
        <w:rPr>
          <w:rFonts w:ascii="Garamond" w:eastAsia="Garamond" w:hAnsi="Garamond" w:cs="Garamond"/>
        </w:rPr>
      </w:pPr>
    </w:p>
    <w:p w14:paraId="229FB41A" w14:textId="77777777" w:rsidR="007B1CDB" w:rsidRDefault="007B1CDB" w:rsidP="00AC1CAA">
      <w:pPr>
        <w:jc w:val="both"/>
        <w:rPr>
          <w:rFonts w:ascii="Garamond" w:eastAsia="Garamond" w:hAnsi="Garamond" w:cs="Garamond"/>
        </w:rPr>
      </w:pPr>
    </w:p>
    <w:p w14:paraId="2F5B4EFF" w14:textId="01AE9BE8" w:rsidR="00AC1CAA" w:rsidRDefault="00AC1CAA" w:rsidP="00AC1CAA">
      <w:pPr>
        <w:jc w:val="both"/>
        <w:rPr>
          <w:rFonts w:ascii="Garamond" w:eastAsia="Garamond" w:hAnsi="Garamond" w:cs="Garamond"/>
        </w:rPr>
      </w:pPr>
      <w:r>
        <w:rPr>
          <w:rFonts w:ascii="Garamond" w:eastAsia="Garamond" w:hAnsi="Garamond" w:cs="Garamond"/>
        </w:rPr>
        <w:t xml:space="preserve">For more information on GFF 2025 please visit: </w:t>
      </w:r>
      <w:hyperlink r:id="rId10">
        <w:r>
          <w:rPr>
            <w:rFonts w:ascii="Garamond" w:eastAsia="Garamond" w:hAnsi="Garamond" w:cs="Garamond"/>
            <w:color w:val="000000"/>
            <w:u w:val="single"/>
          </w:rPr>
          <w:t>https://www.globalfintechfest.com/</w:t>
        </w:r>
      </w:hyperlink>
    </w:p>
    <w:p w14:paraId="5CF2510B" w14:textId="77777777" w:rsidR="00AC1CAA" w:rsidRDefault="00AC1CAA" w:rsidP="00AC1CAA">
      <w:pPr>
        <w:jc w:val="both"/>
        <w:rPr>
          <w:rFonts w:ascii="Garamond" w:eastAsia="Garamond" w:hAnsi="Garamond" w:cs="Garamond"/>
        </w:rPr>
      </w:pPr>
      <w:r>
        <w:rPr>
          <w:rFonts w:ascii="Garamond" w:eastAsia="Garamond" w:hAnsi="Garamond" w:cs="Garamond"/>
          <w:noProof/>
        </w:rPr>
        <w:drawing>
          <wp:inline distT="0" distB="0" distL="0" distR="0" wp14:anchorId="571C0CFA" wp14:editId="6A2AC7EE">
            <wp:extent cx="2146300" cy="2146300"/>
            <wp:effectExtent l="0" t="0" r="0" b="0"/>
            <wp:docPr id="4" name="image4.png" descr="A qr code with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qr code with a logo&#10;&#10;AI-generated content may be incorrect."/>
                    <pic:cNvPicPr preferRelativeResize="0"/>
                  </pic:nvPicPr>
                  <pic:blipFill>
                    <a:blip r:embed="rId11"/>
                    <a:srcRect/>
                    <a:stretch>
                      <a:fillRect/>
                    </a:stretch>
                  </pic:blipFill>
                  <pic:spPr>
                    <a:xfrm>
                      <a:off x="0" y="0"/>
                      <a:ext cx="2146300" cy="2146300"/>
                    </a:xfrm>
                    <a:prstGeom prst="rect">
                      <a:avLst/>
                    </a:prstGeom>
                    <a:ln/>
                  </pic:spPr>
                </pic:pic>
              </a:graphicData>
            </a:graphic>
          </wp:inline>
        </w:drawing>
      </w:r>
    </w:p>
    <w:p w14:paraId="3F9C381D" w14:textId="77777777" w:rsidR="005F740A" w:rsidRPr="0039331D" w:rsidRDefault="005F740A" w:rsidP="005F740A">
      <w:pPr>
        <w:jc w:val="both"/>
        <w:rPr>
          <w:rFonts w:eastAsia="Calibri"/>
          <w:b/>
          <w:bCs/>
          <w:sz w:val="20"/>
          <w:szCs w:val="20"/>
          <w:u w:val="single"/>
        </w:rPr>
      </w:pPr>
      <w:r w:rsidRPr="0039331D">
        <w:rPr>
          <w:rFonts w:eastAsia="Calibri"/>
          <w:b/>
          <w:bCs/>
          <w:sz w:val="20"/>
          <w:szCs w:val="20"/>
          <w:u w:val="single"/>
        </w:rPr>
        <w:t xml:space="preserve">About NPCI: </w:t>
      </w:r>
    </w:p>
    <w:p w14:paraId="6721892C" w14:textId="77777777" w:rsidR="005F740A" w:rsidRPr="0039331D" w:rsidRDefault="005F740A" w:rsidP="005F740A">
      <w:pPr>
        <w:jc w:val="both"/>
        <w:rPr>
          <w:sz w:val="20"/>
          <w:szCs w:val="20"/>
        </w:rPr>
      </w:pPr>
      <w:r w:rsidRPr="0039331D">
        <w:rPr>
          <w:sz w:val="20"/>
          <w:szCs w:val="20"/>
        </w:rPr>
        <w:t xml:space="preserve">National Payments Corporation of India (NPCI) is the central body responsible for overseeing retail payments and settlement systems in India. It is established by the Reserve Bank of India (RBI) and the Indian Banks’ Association (IBA). The Company is focused on bringing innovations </w:t>
      </w:r>
      <w:proofErr w:type="gramStart"/>
      <w:r w:rsidRPr="0039331D">
        <w:rPr>
          <w:sz w:val="20"/>
          <w:szCs w:val="20"/>
        </w:rPr>
        <w:t>in</w:t>
      </w:r>
      <w:proofErr w:type="gramEnd"/>
      <w:r w:rsidRPr="0039331D">
        <w:rPr>
          <w:sz w:val="20"/>
          <w:szCs w:val="20"/>
        </w:rPr>
        <w:t xml:space="preserve"> the retail payment systems by using technology </w:t>
      </w:r>
      <w:proofErr w:type="gramStart"/>
      <w:r w:rsidRPr="0039331D">
        <w:rPr>
          <w:sz w:val="20"/>
          <w:szCs w:val="20"/>
        </w:rPr>
        <w:t>for achieving</w:t>
      </w:r>
      <w:proofErr w:type="gramEnd"/>
      <w:r w:rsidRPr="0039331D">
        <w:rPr>
          <w:sz w:val="20"/>
          <w:szCs w:val="20"/>
        </w:rPr>
        <w:t xml:space="preserve"> greater efficiency in operations and </w:t>
      </w:r>
      <w:proofErr w:type="gramStart"/>
      <w:r w:rsidRPr="0039331D">
        <w:rPr>
          <w:sz w:val="20"/>
          <w:szCs w:val="20"/>
        </w:rPr>
        <w:t>widening</w:t>
      </w:r>
      <w:proofErr w:type="gramEnd"/>
      <w:r w:rsidRPr="0039331D">
        <w:rPr>
          <w:sz w:val="20"/>
          <w:szCs w:val="20"/>
        </w:rPr>
        <w:t xml:space="preserve"> the reach of payment systems. NPCI is committed to harnessing the transformative potential of deep tech, creating an ecosystem that fosters collaboration to work on breakthrough technologies. Underlining its commitment to service, NPCI has been incorporated as a “Not for Profit” Company to provide infrastructure to the entire Banking system in India for physical as well as electronic payment and settlement systems. </w:t>
      </w:r>
    </w:p>
    <w:p w14:paraId="0C98589F" w14:textId="77777777" w:rsidR="005F740A" w:rsidRPr="0039331D" w:rsidRDefault="005F740A" w:rsidP="005F740A">
      <w:pPr>
        <w:jc w:val="both"/>
        <w:rPr>
          <w:sz w:val="20"/>
          <w:szCs w:val="20"/>
        </w:rPr>
      </w:pPr>
      <w:r w:rsidRPr="0039331D">
        <w:rPr>
          <w:sz w:val="20"/>
          <w:szCs w:val="20"/>
        </w:rPr>
        <w:t xml:space="preserve">NPCI has made a profound impact on India's retail payment landscape, focusing on creating robust, efficient, and inclusive payment and settlement solutions. NPCI has been instrumental in introducing a range of products that have </w:t>
      </w:r>
      <w:proofErr w:type="spellStart"/>
      <w:r w:rsidRPr="0039331D">
        <w:rPr>
          <w:sz w:val="20"/>
          <w:szCs w:val="20"/>
        </w:rPr>
        <w:t>revolutionised</w:t>
      </w:r>
      <w:proofErr w:type="spellEnd"/>
      <w:r w:rsidRPr="0039331D">
        <w:rPr>
          <w:sz w:val="20"/>
          <w:szCs w:val="20"/>
        </w:rPr>
        <w:t xml:space="preserve"> retail payment systems. These include </w:t>
      </w:r>
      <w:hyperlink r:id="rId12" w:history="1">
        <w:r w:rsidRPr="0039331D">
          <w:rPr>
            <w:rStyle w:val="Hyperlink"/>
            <w:sz w:val="20"/>
            <w:szCs w:val="20"/>
          </w:rPr>
          <w:t>Unified Payments Interface</w:t>
        </w:r>
      </w:hyperlink>
      <w:r w:rsidRPr="0039331D">
        <w:rPr>
          <w:sz w:val="20"/>
          <w:szCs w:val="20"/>
        </w:rPr>
        <w:t xml:space="preserve"> (UPI), </w:t>
      </w:r>
      <w:hyperlink r:id="rId13" w:history="1">
        <w:r w:rsidRPr="0039331D">
          <w:rPr>
            <w:rStyle w:val="Hyperlink"/>
            <w:sz w:val="20"/>
            <w:szCs w:val="20"/>
          </w:rPr>
          <w:t>RuPay</w:t>
        </w:r>
      </w:hyperlink>
      <w:r w:rsidRPr="0039331D">
        <w:rPr>
          <w:sz w:val="20"/>
          <w:szCs w:val="20"/>
        </w:rPr>
        <w:t xml:space="preserve">, </w:t>
      </w:r>
      <w:hyperlink r:id="rId14" w:history="1">
        <w:r w:rsidRPr="0039331D">
          <w:rPr>
            <w:rStyle w:val="Hyperlink"/>
            <w:sz w:val="20"/>
            <w:szCs w:val="20"/>
          </w:rPr>
          <w:t>National Automated Clearing House</w:t>
        </w:r>
      </w:hyperlink>
      <w:r w:rsidRPr="0039331D">
        <w:rPr>
          <w:sz w:val="20"/>
          <w:szCs w:val="20"/>
        </w:rPr>
        <w:t xml:space="preserve"> (NACH), </w:t>
      </w:r>
      <w:hyperlink r:id="rId15" w:history="1">
        <w:r w:rsidRPr="0039331D">
          <w:rPr>
            <w:rStyle w:val="Hyperlink"/>
            <w:sz w:val="20"/>
            <w:szCs w:val="20"/>
          </w:rPr>
          <w:t>Immediate Payment Service</w:t>
        </w:r>
      </w:hyperlink>
      <w:r w:rsidRPr="0039331D">
        <w:rPr>
          <w:sz w:val="20"/>
          <w:szCs w:val="20"/>
        </w:rPr>
        <w:t xml:space="preserve"> (IMPS), </w:t>
      </w:r>
      <w:hyperlink r:id="rId16" w:history="1">
        <w:r w:rsidRPr="0039331D">
          <w:rPr>
            <w:rStyle w:val="Hyperlink"/>
            <w:sz w:val="20"/>
            <w:szCs w:val="20"/>
          </w:rPr>
          <w:t>National Electronic Toll Collection</w:t>
        </w:r>
      </w:hyperlink>
      <w:r w:rsidRPr="0039331D">
        <w:rPr>
          <w:sz w:val="20"/>
          <w:szCs w:val="20"/>
        </w:rPr>
        <w:t xml:space="preserve"> (NETC), </w:t>
      </w:r>
      <w:hyperlink r:id="rId17" w:history="1">
        <w:r w:rsidRPr="0039331D">
          <w:rPr>
            <w:rStyle w:val="Hyperlink"/>
            <w:sz w:val="20"/>
            <w:szCs w:val="20"/>
          </w:rPr>
          <w:t>Aadhaar Enabled Payment System</w:t>
        </w:r>
      </w:hyperlink>
      <w:r w:rsidRPr="0039331D">
        <w:rPr>
          <w:sz w:val="20"/>
          <w:szCs w:val="20"/>
        </w:rPr>
        <w:t xml:space="preserve"> (</w:t>
      </w:r>
      <w:proofErr w:type="spellStart"/>
      <w:r w:rsidRPr="0039331D">
        <w:rPr>
          <w:sz w:val="20"/>
          <w:szCs w:val="20"/>
        </w:rPr>
        <w:t>AePS</w:t>
      </w:r>
      <w:proofErr w:type="spellEnd"/>
      <w:r w:rsidRPr="0039331D">
        <w:rPr>
          <w:sz w:val="20"/>
          <w:szCs w:val="20"/>
        </w:rPr>
        <w:t xml:space="preserve">), </w:t>
      </w:r>
      <w:hyperlink r:id="rId18" w:history="1">
        <w:r w:rsidRPr="0039331D">
          <w:rPr>
            <w:rStyle w:val="Hyperlink"/>
            <w:sz w:val="20"/>
            <w:szCs w:val="20"/>
          </w:rPr>
          <w:t>e-RUPI</w:t>
        </w:r>
      </w:hyperlink>
      <w:r w:rsidRPr="0039331D">
        <w:rPr>
          <w:sz w:val="20"/>
          <w:szCs w:val="20"/>
        </w:rPr>
        <w:t xml:space="preserve"> and more. Each of these products has contributed significantly to enhance the efficiency and accessibility of payment systems in India, ultimately propelling financial inclusion.</w:t>
      </w:r>
    </w:p>
    <w:p w14:paraId="4B8C73FF" w14:textId="77777777" w:rsidR="005F740A" w:rsidRPr="0039331D" w:rsidRDefault="005F740A" w:rsidP="005F740A">
      <w:pPr>
        <w:jc w:val="both"/>
        <w:rPr>
          <w:sz w:val="20"/>
          <w:szCs w:val="20"/>
        </w:rPr>
      </w:pPr>
      <w:r w:rsidRPr="0039331D">
        <w:rPr>
          <w:sz w:val="20"/>
          <w:szCs w:val="20"/>
        </w:rPr>
        <w:t>NPCI has played a fundamental role in establishing the foundation for India’s rapidly growing digital payments ecosystem, projecting the country onto the global stage.</w:t>
      </w:r>
    </w:p>
    <w:p w14:paraId="664AEC3B" w14:textId="77777777" w:rsidR="005F740A" w:rsidRPr="0039331D" w:rsidRDefault="005F740A" w:rsidP="005F740A">
      <w:pPr>
        <w:jc w:val="both"/>
        <w:rPr>
          <w:sz w:val="20"/>
          <w:szCs w:val="20"/>
        </w:rPr>
      </w:pPr>
      <w:r w:rsidRPr="0039331D">
        <w:rPr>
          <w:sz w:val="20"/>
          <w:szCs w:val="20"/>
        </w:rPr>
        <w:t xml:space="preserve">NPCI has three wholly owned subsidiaries – </w:t>
      </w:r>
      <w:hyperlink r:id="rId19" w:history="1">
        <w:r w:rsidRPr="0039331D">
          <w:rPr>
            <w:rStyle w:val="Hyperlink"/>
            <w:sz w:val="20"/>
            <w:szCs w:val="20"/>
          </w:rPr>
          <w:t>NPCI International Payments Limited (NIPL)</w:t>
        </w:r>
      </w:hyperlink>
      <w:r w:rsidRPr="0039331D">
        <w:rPr>
          <w:sz w:val="20"/>
          <w:szCs w:val="20"/>
        </w:rPr>
        <w:t xml:space="preserve"> and </w:t>
      </w:r>
      <w:hyperlink r:id="rId20" w:history="1">
        <w:r w:rsidRPr="0039331D">
          <w:rPr>
            <w:rStyle w:val="Hyperlink"/>
            <w:sz w:val="20"/>
            <w:szCs w:val="20"/>
          </w:rPr>
          <w:t>NPCI Bharat BillPay Limited (NBBL)</w:t>
        </w:r>
      </w:hyperlink>
      <w:r w:rsidRPr="0039331D">
        <w:rPr>
          <w:sz w:val="20"/>
          <w:szCs w:val="20"/>
        </w:rPr>
        <w:t xml:space="preserve"> and </w:t>
      </w:r>
      <w:hyperlink r:id="rId21" w:history="1">
        <w:r w:rsidRPr="0039331D">
          <w:rPr>
            <w:rStyle w:val="Hyperlink"/>
            <w:sz w:val="20"/>
            <w:szCs w:val="20"/>
          </w:rPr>
          <w:t>NPCI BHIM Services Limited (NBSL)</w:t>
        </w:r>
      </w:hyperlink>
      <w:r w:rsidRPr="0039331D">
        <w:rPr>
          <w:sz w:val="20"/>
          <w:szCs w:val="20"/>
        </w:rPr>
        <w:t>, established in pursuance of NPCI Board &amp; RBI approval.</w:t>
      </w:r>
    </w:p>
    <w:p w14:paraId="6355712B" w14:textId="77777777" w:rsidR="005F740A" w:rsidRDefault="005F740A" w:rsidP="005F740A">
      <w:pPr>
        <w:rPr>
          <w:sz w:val="20"/>
          <w:szCs w:val="20"/>
        </w:rPr>
      </w:pPr>
      <w:r w:rsidRPr="0039331D">
        <w:rPr>
          <w:sz w:val="20"/>
          <w:szCs w:val="20"/>
        </w:rPr>
        <w:t xml:space="preserve">For more information visit: </w:t>
      </w:r>
      <w:hyperlink r:id="rId22" w:history="1">
        <w:r w:rsidRPr="0039331D">
          <w:rPr>
            <w:rStyle w:val="Hyperlink"/>
            <w:sz w:val="20"/>
            <w:szCs w:val="20"/>
          </w:rPr>
          <w:t>https://www.npci.org.in/</w:t>
        </w:r>
      </w:hyperlink>
      <w:r w:rsidRPr="0039331D">
        <w:rPr>
          <w:sz w:val="20"/>
          <w:szCs w:val="20"/>
        </w:rPr>
        <w:t xml:space="preserve"> </w:t>
      </w:r>
    </w:p>
    <w:p w14:paraId="569FAD7F" w14:textId="77777777" w:rsidR="00230A5A" w:rsidRDefault="00230A5A" w:rsidP="00422A28">
      <w:pPr>
        <w:spacing w:after="160" w:line="256" w:lineRule="auto"/>
        <w:jc w:val="both"/>
        <w:rPr>
          <w:rFonts w:ascii="Calibri" w:eastAsia="Cambria" w:hAnsi="Calibri" w:cs="Calibri"/>
          <w:b/>
        </w:rPr>
      </w:pPr>
    </w:p>
    <w:p w14:paraId="40E7E135" w14:textId="77777777" w:rsidR="00A97112" w:rsidRDefault="00A97112" w:rsidP="00A97112">
      <w:pPr>
        <w:spacing w:line="256" w:lineRule="auto"/>
        <w:jc w:val="both"/>
        <w:rPr>
          <w:rFonts w:ascii="Garamond" w:eastAsia="Garamond" w:hAnsi="Garamond" w:cs="Garamond"/>
          <w:b/>
        </w:rPr>
      </w:pPr>
      <w:r>
        <w:rPr>
          <w:rFonts w:ascii="Garamond" w:eastAsia="Garamond" w:hAnsi="Garamond" w:cs="Garamond"/>
          <w:b/>
        </w:rPr>
        <w:t>About Payments Council of India (PCI)</w:t>
      </w:r>
    </w:p>
    <w:p w14:paraId="1AB77BCF" w14:textId="77777777" w:rsidR="00A97112" w:rsidRDefault="00A97112" w:rsidP="00A97112">
      <w:pPr>
        <w:jc w:val="both"/>
        <w:rPr>
          <w:rFonts w:ascii="Garamond" w:eastAsia="Garamond" w:hAnsi="Garamond" w:cs="Garamond"/>
        </w:rPr>
      </w:pPr>
      <w:r>
        <w:rPr>
          <w:rFonts w:ascii="Garamond" w:eastAsia="Garamond" w:hAnsi="Garamond" w:cs="Garamond"/>
        </w:rPr>
        <w:t>The Payments Council of India (PCI) was formed under the aegis of the Internet and Mobile Association of India (PCI) in the year 2013 catering to the needs of the digital payment industry. The Council was formed inter-alia to represent the various non-banking payment industry players, and to address and help resolve various industry-level issues and barriers that require discussion and action.</w:t>
      </w:r>
    </w:p>
    <w:p w14:paraId="0C15679B" w14:textId="77777777" w:rsidR="00A97112" w:rsidRDefault="00A97112" w:rsidP="00A97112">
      <w:pPr>
        <w:spacing w:line="256" w:lineRule="auto"/>
        <w:jc w:val="both"/>
        <w:rPr>
          <w:rFonts w:ascii="Garamond" w:eastAsia="Garamond" w:hAnsi="Garamond" w:cs="Garamond"/>
        </w:rPr>
      </w:pPr>
      <w:r>
        <w:rPr>
          <w:rFonts w:ascii="Garamond" w:eastAsia="Garamond" w:hAnsi="Garamond" w:cs="Garamond"/>
        </w:rPr>
        <w:lastRenderedPageBreak/>
        <w:t>The council works with its 180+ members, encompassing over 90% of the industry to promote payments industry growth and to support our national goals of 'Cashless Society' and ‘Growth of Financial Inclusion’ which is also the Vision Shared by the RBI and the Government of India. PCI represents the complete digital payments ecosystem of India through its various committees representing different sectors.</w:t>
      </w:r>
    </w:p>
    <w:p w14:paraId="6F418DC0" w14:textId="77777777" w:rsidR="00A97112" w:rsidRDefault="00A97112" w:rsidP="00422A28">
      <w:pPr>
        <w:spacing w:after="160" w:line="256" w:lineRule="auto"/>
        <w:jc w:val="both"/>
        <w:rPr>
          <w:rFonts w:ascii="Calibri" w:eastAsia="Cambria" w:hAnsi="Calibri" w:cs="Calibri"/>
          <w:b/>
        </w:rPr>
      </w:pPr>
    </w:p>
    <w:p w14:paraId="6C11992F" w14:textId="77777777" w:rsidR="00ED4E15" w:rsidRDefault="00ED4E15" w:rsidP="00ED4E15">
      <w:pPr>
        <w:spacing w:line="256" w:lineRule="auto"/>
        <w:jc w:val="both"/>
        <w:rPr>
          <w:rFonts w:ascii="Garamond" w:eastAsia="Garamond" w:hAnsi="Garamond" w:cs="Garamond"/>
          <w:b/>
        </w:rPr>
      </w:pPr>
      <w:r>
        <w:rPr>
          <w:rFonts w:ascii="Garamond" w:eastAsia="Garamond" w:hAnsi="Garamond" w:cs="Garamond"/>
          <w:b/>
        </w:rPr>
        <w:t>About Fintech Convergence Council (FCC)</w:t>
      </w:r>
    </w:p>
    <w:p w14:paraId="7A2EA299" w14:textId="77777777" w:rsidR="00ED4E15" w:rsidRDefault="00ED4E15" w:rsidP="00ED4E15">
      <w:pPr>
        <w:jc w:val="both"/>
        <w:rPr>
          <w:rFonts w:ascii="Garamond" w:eastAsia="Garamond" w:hAnsi="Garamond" w:cs="Garamond"/>
        </w:rPr>
      </w:pPr>
      <w:r>
        <w:rPr>
          <w:rFonts w:ascii="Garamond" w:eastAsia="Garamond" w:hAnsi="Garamond" w:cs="Garamond"/>
        </w:rPr>
        <w:t xml:space="preserve">Established in 2018, the Fintech Convergence Council (FCC) is an industry body representing the collective voice of fintech companies in India. Since its inception, FCC has evolved into a leading platform with a diverse membership of over 200 fintech entities across key segments including digital lending, wealth, insurance, digital financial services, </w:t>
      </w:r>
      <w:proofErr w:type="spellStart"/>
      <w:r>
        <w:rPr>
          <w:rFonts w:ascii="Garamond" w:eastAsia="Garamond" w:hAnsi="Garamond" w:cs="Garamond"/>
        </w:rPr>
        <w:t>RegTech</w:t>
      </w:r>
      <w:proofErr w:type="spellEnd"/>
      <w:r>
        <w:rPr>
          <w:rFonts w:ascii="Garamond" w:eastAsia="Garamond" w:hAnsi="Garamond" w:cs="Garamond"/>
        </w:rPr>
        <w:t>, and credit bureaus.</w:t>
      </w:r>
    </w:p>
    <w:p w14:paraId="6A20B19A" w14:textId="77777777" w:rsidR="00ED4E15" w:rsidRDefault="00ED4E15" w:rsidP="00ED4E15">
      <w:pPr>
        <w:jc w:val="both"/>
        <w:rPr>
          <w:rFonts w:ascii="Garamond" w:eastAsia="Garamond" w:hAnsi="Garamond" w:cs="Garamond"/>
        </w:rPr>
      </w:pPr>
      <w:r>
        <w:rPr>
          <w:rFonts w:ascii="Garamond" w:eastAsia="Garamond" w:hAnsi="Garamond" w:cs="Garamond"/>
        </w:rPr>
        <w:t>FCC's core mission is to address sector-specific challenges and provide a unified platform for dialogue within the broader BFSI (Banking, Financial Services, and Insurance) ecosystem. The council actively engages with regulators and policymakers to help shape progressive policy frameworks and promote a balanced approach to innovation and compliance.</w:t>
      </w:r>
    </w:p>
    <w:p w14:paraId="034A620D" w14:textId="77777777" w:rsidR="00ED4E15" w:rsidRDefault="00ED4E15" w:rsidP="00ED4E15">
      <w:pPr>
        <w:spacing w:line="256" w:lineRule="auto"/>
        <w:jc w:val="both"/>
        <w:rPr>
          <w:rFonts w:ascii="Garamond" w:eastAsia="Garamond" w:hAnsi="Garamond" w:cs="Garamond"/>
        </w:rPr>
      </w:pPr>
      <w:r>
        <w:rPr>
          <w:rFonts w:ascii="Garamond" w:eastAsia="Garamond" w:hAnsi="Garamond" w:cs="Garamond"/>
        </w:rPr>
        <w:t>In addition to policy advocacy, FCC also focuses on knowledge sharing, strengthening consumer education, and promoting responsible finance through awareness-building initiatives on customer protection, digital literacy, and best practices in fintech.</w:t>
      </w:r>
    </w:p>
    <w:p w14:paraId="6AD18D76" w14:textId="77777777" w:rsidR="00FA4CF0" w:rsidRDefault="00FA4CF0"/>
    <w:sectPr w:rsidR="00FA4CF0">
      <w:headerReference w:type="default" r:id="rId2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CC83" w14:textId="77777777" w:rsidR="00587F81" w:rsidRDefault="00587F81">
      <w:pPr>
        <w:spacing w:line="240" w:lineRule="auto"/>
      </w:pPr>
      <w:r>
        <w:separator/>
      </w:r>
    </w:p>
  </w:endnote>
  <w:endnote w:type="continuationSeparator" w:id="0">
    <w:p w14:paraId="1D066B05" w14:textId="77777777" w:rsidR="00587F81" w:rsidRDefault="00587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7294" w14:textId="77777777" w:rsidR="00587F81" w:rsidRDefault="00587F81">
      <w:pPr>
        <w:spacing w:line="240" w:lineRule="auto"/>
      </w:pPr>
      <w:r>
        <w:separator/>
      </w:r>
    </w:p>
  </w:footnote>
  <w:footnote w:type="continuationSeparator" w:id="0">
    <w:p w14:paraId="7C989876" w14:textId="77777777" w:rsidR="00587F81" w:rsidRDefault="00587F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9466" w14:textId="4FCF88B0" w:rsidR="00950032" w:rsidRPr="00F02D56" w:rsidRDefault="005F4FD5" w:rsidP="00F02D56">
    <w:pPr>
      <w:jc w:val="center"/>
      <w:rPr>
        <w:lang w:val="en-IN"/>
      </w:rPr>
    </w:pPr>
    <w:r w:rsidRPr="005F4FD5">
      <w:rPr>
        <w:noProof/>
        <w:lang w:val="en-IN"/>
      </w:rPr>
      <w:drawing>
        <wp:inline distT="0" distB="0" distL="0" distR="0" wp14:anchorId="67BBA54C" wp14:editId="4A506F2B">
          <wp:extent cx="1774348" cy="1238250"/>
          <wp:effectExtent l="0" t="0" r="0" b="0"/>
          <wp:docPr id="1510962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62319" name=""/>
                  <pic:cNvPicPr/>
                </pic:nvPicPr>
                <pic:blipFill>
                  <a:blip r:embed="rId1"/>
                  <a:stretch>
                    <a:fillRect/>
                  </a:stretch>
                </pic:blipFill>
                <pic:spPr>
                  <a:xfrm>
                    <a:off x="0" y="0"/>
                    <a:ext cx="1854488" cy="1294177"/>
                  </a:xfrm>
                  <a:prstGeom prst="rect">
                    <a:avLst/>
                  </a:prstGeom>
                </pic:spPr>
              </pic:pic>
            </a:graphicData>
          </a:graphic>
        </wp:inline>
      </w:drawing>
    </w:r>
  </w:p>
  <w:p w14:paraId="073DF848" w14:textId="77777777" w:rsidR="00950032" w:rsidRDefault="00950032" w:rsidP="00F02D5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0361A"/>
    <w:multiLevelType w:val="hybridMultilevel"/>
    <w:tmpl w:val="8400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0A57E4"/>
    <w:multiLevelType w:val="hybridMultilevel"/>
    <w:tmpl w:val="E484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334483">
    <w:abstractNumId w:val="0"/>
  </w:num>
  <w:num w:numId="2" w16cid:durableId="568273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F2"/>
    <w:rsid w:val="000B1BAB"/>
    <w:rsid w:val="00181AFD"/>
    <w:rsid w:val="001F64A2"/>
    <w:rsid w:val="00230A5A"/>
    <w:rsid w:val="002C5A5B"/>
    <w:rsid w:val="002D7D87"/>
    <w:rsid w:val="00300C77"/>
    <w:rsid w:val="003303F1"/>
    <w:rsid w:val="00422A28"/>
    <w:rsid w:val="00477804"/>
    <w:rsid w:val="005232E9"/>
    <w:rsid w:val="00563E60"/>
    <w:rsid w:val="00587F81"/>
    <w:rsid w:val="005D66A0"/>
    <w:rsid w:val="005F4FD5"/>
    <w:rsid w:val="005F740A"/>
    <w:rsid w:val="00600ED7"/>
    <w:rsid w:val="00653887"/>
    <w:rsid w:val="006C0D70"/>
    <w:rsid w:val="007A6304"/>
    <w:rsid w:val="007B1CDB"/>
    <w:rsid w:val="007C40F4"/>
    <w:rsid w:val="007C465C"/>
    <w:rsid w:val="00831D51"/>
    <w:rsid w:val="008C36E8"/>
    <w:rsid w:val="009009D4"/>
    <w:rsid w:val="009305B7"/>
    <w:rsid w:val="00950032"/>
    <w:rsid w:val="00A009B2"/>
    <w:rsid w:val="00A97112"/>
    <w:rsid w:val="00AA67A2"/>
    <w:rsid w:val="00AB39FE"/>
    <w:rsid w:val="00AC1CAA"/>
    <w:rsid w:val="00BC5BC7"/>
    <w:rsid w:val="00C20F5A"/>
    <w:rsid w:val="00C336A1"/>
    <w:rsid w:val="00C973F4"/>
    <w:rsid w:val="00D50B11"/>
    <w:rsid w:val="00D55C44"/>
    <w:rsid w:val="00E310D3"/>
    <w:rsid w:val="00E5412E"/>
    <w:rsid w:val="00E7129D"/>
    <w:rsid w:val="00ED4E15"/>
    <w:rsid w:val="00EF0F0A"/>
    <w:rsid w:val="00F001F2"/>
    <w:rsid w:val="00F369AE"/>
    <w:rsid w:val="00FA4CF0"/>
    <w:rsid w:val="00FF2A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2B41D"/>
  <w15:chartTrackingRefBased/>
  <w15:docId w15:val="{267C9913-7ED8-41C0-AE4C-A973E871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2A28"/>
    <w:pPr>
      <w:spacing w:after="0" w:line="276"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A28"/>
    <w:pPr>
      <w:ind w:left="720"/>
      <w:contextualSpacing/>
    </w:pPr>
  </w:style>
  <w:style w:type="paragraph" w:styleId="Header">
    <w:name w:val="header"/>
    <w:basedOn w:val="Normal"/>
    <w:link w:val="HeaderChar"/>
    <w:uiPriority w:val="99"/>
    <w:unhideWhenUsed/>
    <w:rsid w:val="00181AFD"/>
    <w:pPr>
      <w:tabs>
        <w:tab w:val="center" w:pos="4513"/>
        <w:tab w:val="right" w:pos="9026"/>
      </w:tabs>
      <w:spacing w:line="240" w:lineRule="auto"/>
    </w:pPr>
  </w:style>
  <w:style w:type="character" w:customStyle="1" w:styleId="HeaderChar">
    <w:name w:val="Header Char"/>
    <w:basedOn w:val="DefaultParagraphFont"/>
    <w:link w:val="Header"/>
    <w:uiPriority w:val="99"/>
    <w:rsid w:val="00181AFD"/>
    <w:rPr>
      <w:rFonts w:ascii="Arial" w:eastAsia="Arial" w:hAnsi="Arial" w:cs="Arial"/>
      <w:lang w:val="en-US"/>
    </w:rPr>
  </w:style>
  <w:style w:type="paragraph" w:styleId="Footer">
    <w:name w:val="footer"/>
    <w:basedOn w:val="Normal"/>
    <w:link w:val="FooterChar"/>
    <w:uiPriority w:val="99"/>
    <w:unhideWhenUsed/>
    <w:rsid w:val="00181AFD"/>
    <w:pPr>
      <w:tabs>
        <w:tab w:val="center" w:pos="4513"/>
        <w:tab w:val="right" w:pos="9026"/>
      </w:tabs>
      <w:spacing w:line="240" w:lineRule="auto"/>
    </w:pPr>
  </w:style>
  <w:style w:type="character" w:customStyle="1" w:styleId="FooterChar">
    <w:name w:val="Footer Char"/>
    <w:basedOn w:val="DefaultParagraphFont"/>
    <w:link w:val="Footer"/>
    <w:uiPriority w:val="99"/>
    <w:rsid w:val="00181AFD"/>
    <w:rPr>
      <w:rFonts w:ascii="Arial" w:eastAsia="Arial" w:hAnsi="Arial" w:cs="Arial"/>
      <w:lang w:val="en-US"/>
    </w:rPr>
  </w:style>
  <w:style w:type="character" w:styleId="Hyperlink">
    <w:name w:val="Hyperlink"/>
    <w:basedOn w:val="DefaultParagraphFont"/>
    <w:uiPriority w:val="99"/>
    <w:unhideWhenUsed/>
    <w:rsid w:val="005F74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pci.org.in/what-we-do/rupay/product-overview" TargetMode="External"/><Relationship Id="rId18" Type="http://schemas.openxmlformats.org/officeDocument/2006/relationships/hyperlink" Target="https://www.npci.org.in/what-we-do/e-rupi/product-overview" TargetMode="External"/><Relationship Id="rId3" Type="http://schemas.openxmlformats.org/officeDocument/2006/relationships/customXml" Target="../customXml/item3.xml"/><Relationship Id="rId21" Type="http://schemas.openxmlformats.org/officeDocument/2006/relationships/hyperlink" Target="https://www.npci.org.in/what-we-do/bhim/product-overview" TargetMode="External"/><Relationship Id="rId7" Type="http://schemas.openxmlformats.org/officeDocument/2006/relationships/webSettings" Target="webSettings.xml"/><Relationship Id="rId12" Type="http://schemas.openxmlformats.org/officeDocument/2006/relationships/hyperlink" Target="https://www.npci.org.in/what-we-do/upi/product-overview" TargetMode="External"/><Relationship Id="rId17" Type="http://schemas.openxmlformats.org/officeDocument/2006/relationships/hyperlink" Target="https://www.npci.org.in/what-we-do/aeps/product-overvie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pci.org.in/what-we-do/netc-fastag/product-overview" TargetMode="External"/><Relationship Id="rId20" Type="http://schemas.openxmlformats.org/officeDocument/2006/relationships/hyperlink" Target="https://www.bharat-connec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pci.org.in/what-we-do/imps/product-overview" TargetMode="External"/><Relationship Id="rId23" Type="http://schemas.openxmlformats.org/officeDocument/2006/relationships/header" Target="header1.xml"/><Relationship Id="rId10" Type="http://schemas.openxmlformats.org/officeDocument/2006/relationships/hyperlink" Target="https://www.globalfintechfest.com/" TargetMode="External"/><Relationship Id="rId19" Type="http://schemas.openxmlformats.org/officeDocument/2006/relationships/hyperlink" Target="https://www.nip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pci.org.in/what-we-do/nach/product-overview" TargetMode="External"/><Relationship Id="rId22" Type="http://schemas.openxmlformats.org/officeDocument/2006/relationships/hyperlink" Target="https://www.npci.or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81BB5874F6C42B7F6F360D7F3E710" ma:contentTypeVersion="15" ma:contentTypeDescription="Create a new document." ma:contentTypeScope="" ma:versionID="22ee9788960c6c19abc100cca2ea3ed3">
  <xsd:schema xmlns:xsd="http://www.w3.org/2001/XMLSchema" xmlns:xs="http://www.w3.org/2001/XMLSchema" xmlns:p="http://schemas.microsoft.com/office/2006/metadata/properties" xmlns:ns3="542969d3-678b-4ec6-8311-e6bc2403addb" xmlns:ns4="5a5f26cf-c993-4711-af77-2fec86810231" targetNamespace="http://schemas.microsoft.com/office/2006/metadata/properties" ma:root="true" ma:fieldsID="ddfdb645d184fa09746d06b1c7191280" ns3:_="" ns4:_="">
    <xsd:import namespace="542969d3-678b-4ec6-8311-e6bc2403addb"/>
    <xsd:import namespace="5a5f26cf-c993-4711-af77-2fec868102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69d3-678b-4ec6-8311-e6bc2403a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5f26cf-c993-4711-af77-2fec86810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42969d3-678b-4ec6-8311-e6bc2403ad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04FFF-5A60-4F15-BCDA-39575CA48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69d3-678b-4ec6-8311-e6bc2403addb"/>
    <ds:schemaRef ds:uri="5a5f26cf-c993-4711-af77-2fec8681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32B59-CA06-4D2D-9F9D-4CAB85619B45}">
  <ds:schemaRefs>
    <ds:schemaRef ds:uri="http://schemas.microsoft.com/office/2006/metadata/properties"/>
    <ds:schemaRef ds:uri="http://schemas.microsoft.com/office/infopath/2007/PartnerControls"/>
    <ds:schemaRef ds:uri="542969d3-678b-4ec6-8311-e6bc2403addb"/>
  </ds:schemaRefs>
</ds:datastoreItem>
</file>

<file path=customXml/itemProps3.xml><?xml version="1.0" encoding="utf-8"?>
<ds:datastoreItem xmlns:ds="http://schemas.openxmlformats.org/officeDocument/2006/customXml" ds:itemID="{49F3D524-5B03-4FF2-A56A-2F41E78EE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Zabeen Motorwala</dc:creator>
  <cp:keywords/>
  <dc:description/>
  <cp:lastModifiedBy>Sinoj Sadanandan</cp:lastModifiedBy>
  <cp:revision>2</cp:revision>
  <dcterms:created xsi:type="dcterms:W3CDTF">2025-10-06T07:14:00Z</dcterms:created>
  <dcterms:modified xsi:type="dcterms:W3CDTF">2025-10-06T07:14:00Z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0x010100C0A81BB5874F6C42B7F6F360D7F3E710</vt:lpwstr>
  </property>
</Properties>
</file>