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7B6F" w14:textId="77777777" w:rsidR="00811AC3" w:rsidRDefault="00EE2B73" w:rsidP="00811AC3">
      <w:pPr>
        <w:spacing w:line="256" w:lineRule="auto"/>
        <w:jc w:val="center"/>
        <w:rPr>
          <w:rFonts w:ascii="Calibri" w:eastAsia="Cambria" w:hAnsi="Calibri" w:cs="Calibri"/>
          <w:b/>
          <w:sz w:val="32"/>
          <w:szCs w:val="32"/>
        </w:rPr>
      </w:pPr>
      <w:r w:rsidRPr="00EE2B73">
        <w:rPr>
          <w:rFonts w:ascii="Calibri" w:eastAsia="Cambria" w:hAnsi="Calibri" w:cs="Calibri"/>
          <w:b/>
          <w:sz w:val="32"/>
          <w:szCs w:val="32"/>
        </w:rPr>
        <w:t xml:space="preserve">Credit on UPI is a </w:t>
      </w:r>
      <w:r w:rsidR="00811AC3">
        <w:rPr>
          <w:rFonts w:ascii="Calibri" w:eastAsia="Cambria" w:hAnsi="Calibri" w:cs="Calibri"/>
          <w:b/>
          <w:sz w:val="32"/>
          <w:szCs w:val="32"/>
        </w:rPr>
        <w:t>R</w:t>
      </w:r>
      <w:r w:rsidRPr="00EE2B73">
        <w:rPr>
          <w:rFonts w:ascii="Calibri" w:eastAsia="Cambria" w:hAnsi="Calibri" w:cs="Calibri"/>
          <w:b/>
          <w:sz w:val="32"/>
          <w:szCs w:val="32"/>
        </w:rPr>
        <w:t xml:space="preserve">evolutionary </w:t>
      </w:r>
      <w:r w:rsidR="008154CF">
        <w:rPr>
          <w:rFonts w:ascii="Calibri" w:eastAsia="Cambria" w:hAnsi="Calibri" w:cs="Calibri"/>
          <w:b/>
          <w:sz w:val="32"/>
          <w:szCs w:val="32"/>
        </w:rPr>
        <w:t>Step</w:t>
      </w:r>
      <w:r w:rsidRPr="00EE2B73">
        <w:rPr>
          <w:rFonts w:ascii="Calibri" w:eastAsia="Cambria" w:hAnsi="Calibri" w:cs="Calibri"/>
          <w:b/>
          <w:sz w:val="32"/>
          <w:szCs w:val="32"/>
        </w:rPr>
        <w:t xml:space="preserve">: </w:t>
      </w:r>
    </w:p>
    <w:p w14:paraId="5F7192BA" w14:textId="56FBE0BB" w:rsidR="007C465C" w:rsidRPr="00EE2B73" w:rsidRDefault="00EE2B73" w:rsidP="00811AC3">
      <w:pPr>
        <w:spacing w:line="256" w:lineRule="auto"/>
        <w:jc w:val="center"/>
        <w:rPr>
          <w:rFonts w:ascii="Calibri" w:eastAsia="Cambria" w:hAnsi="Calibri" w:cs="Calibri"/>
          <w:b/>
          <w:sz w:val="32"/>
          <w:szCs w:val="32"/>
        </w:rPr>
      </w:pPr>
      <w:r w:rsidRPr="00EE2B73">
        <w:rPr>
          <w:rFonts w:ascii="Calibri" w:eastAsia="Cambria" w:hAnsi="Calibri" w:cs="Calibri"/>
          <w:b/>
          <w:sz w:val="32"/>
          <w:szCs w:val="32"/>
        </w:rPr>
        <w:t>Shri C S Setty, Chairman, SBI</w:t>
      </w:r>
      <w:r w:rsidR="00811AC3">
        <w:rPr>
          <w:rFonts w:ascii="Calibri" w:eastAsia="Cambria" w:hAnsi="Calibri" w:cs="Calibri"/>
          <w:b/>
          <w:sz w:val="32"/>
          <w:szCs w:val="32"/>
        </w:rPr>
        <w:t>,</w:t>
      </w:r>
      <w:r w:rsidRPr="00EE2B73">
        <w:rPr>
          <w:rFonts w:ascii="Calibri" w:eastAsia="Cambria" w:hAnsi="Calibri" w:cs="Calibri"/>
          <w:b/>
          <w:sz w:val="32"/>
          <w:szCs w:val="32"/>
        </w:rPr>
        <w:t xml:space="preserve"> at GFF 2025</w:t>
      </w:r>
    </w:p>
    <w:p w14:paraId="3D83EB99" w14:textId="77777777" w:rsidR="007C465C" w:rsidRDefault="007C465C" w:rsidP="00422A28">
      <w:pPr>
        <w:spacing w:after="160" w:line="256" w:lineRule="auto"/>
        <w:jc w:val="both"/>
        <w:rPr>
          <w:rFonts w:ascii="Calibri" w:eastAsia="Cambria" w:hAnsi="Calibri" w:cs="Calibri"/>
          <w:b/>
        </w:rPr>
      </w:pPr>
    </w:p>
    <w:p w14:paraId="224F8DBA" w14:textId="46037A27" w:rsidR="008154CF" w:rsidRPr="008154CF" w:rsidRDefault="00230A5A" w:rsidP="008154CF">
      <w:pPr>
        <w:spacing w:after="160" w:line="256" w:lineRule="auto"/>
        <w:jc w:val="both"/>
        <w:rPr>
          <w:rFonts w:ascii="Calibri" w:eastAsia="Cambria" w:hAnsi="Calibri" w:cs="Calibri"/>
        </w:rPr>
      </w:pPr>
      <w:r>
        <w:rPr>
          <w:rFonts w:ascii="Calibri" w:eastAsia="Cambria" w:hAnsi="Calibri" w:cs="Calibri"/>
          <w:b/>
        </w:rPr>
        <w:t xml:space="preserve">Mumbai, October </w:t>
      </w:r>
      <w:r w:rsidR="00700063">
        <w:rPr>
          <w:rFonts w:ascii="Calibri" w:eastAsia="Cambria" w:hAnsi="Calibri" w:cs="Calibri"/>
          <w:b/>
        </w:rPr>
        <w:t>8</w:t>
      </w:r>
      <w:r>
        <w:rPr>
          <w:rFonts w:ascii="Calibri" w:eastAsia="Cambria" w:hAnsi="Calibri" w:cs="Calibri"/>
          <w:b/>
        </w:rPr>
        <w:t>, 2025:</w:t>
      </w:r>
      <w:r w:rsidR="008154CF">
        <w:rPr>
          <w:rFonts w:ascii="Calibri" w:eastAsia="Cambria" w:hAnsi="Calibri" w:cs="Calibri"/>
          <w:b/>
        </w:rPr>
        <w:t xml:space="preserve"> </w:t>
      </w:r>
      <w:r w:rsidR="008154CF" w:rsidRPr="008154CF">
        <w:rPr>
          <w:rFonts w:ascii="Calibri" w:eastAsia="Cambria" w:hAnsi="Calibri" w:cs="Calibri"/>
        </w:rPr>
        <w:t>“Credit on UPI is a revolutionary step</w:t>
      </w:r>
      <w:r w:rsidR="00323510">
        <w:rPr>
          <w:rFonts w:ascii="Calibri" w:eastAsia="Cambria" w:hAnsi="Calibri" w:cs="Calibri"/>
        </w:rPr>
        <w:t xml:space="preserve">, </w:t>
      </w:r>
      <w:r w:rsidR="008154CF" w:rsidRPr="008154CF">
        <w:rPr>
          <w:rFonts w:ascii="Calibri" w:eastAsia="Cambria" w:hAnsi="Calibri" w:cs="Calibri"/>
        </w:rPr>
        <w:t xml:space="preserve">transforming a payment tool into a credit platform,” said Shri C.S. Setty, Chairman, State Bank of India (SBI), during a fireside chat with </w:t>
      </w:r>
      <w:r w:rsidR="00295F04">
        <w:rPr>
          <w:rFonts w:ascii="Calibri" w:eastAsia="Cambria" w:hAnsi="Calibri" w:cs="Calibri"/>
        </w:rPr>
        <w:t>Ms.</w:t>
      </w:r>
      <w:r w:rsidR="008154CF" w:rsidRPr="008154CF">
        <w:rPr>
          <w:rFonts w:ascii="Calibri" w:eastAsia="Cambria" w:hAnsi="Calibri" w:cs="Calibri"/>
        </w:rPr>
        <w:t xml:space="preserve"> Sohini Rajola, Executive Director – Growth, National Payments Corporation of India (NPCI), at the Global Fintech Fest (GFF) 2025, being held at the Jio World Centre, Mumbai, from October 7 to 9.</w:t>
      </w:r>
      <w:r w:rsidR="00811AC3">
        <w:rPr>
          <w:rFonts w:ascii="Calibri" w:eastAsia="Cambria" w:hAnsi="Calibri" w:cs="Calibri"/>
        </w:rPr>
        <w:t xml:space="preserve"> </w:t>
      </w:r>
      <w:r w:rsidR="008154CF" w:rsidRPr="008154CF">
        <w:rPr>
          <w:rFonts w:ascii="Calibri" w:eastAsia="Cambria" w:hAnsi="Calibri" w:cs="Calibri"/>
        </w:rPr>
        <w:t xml:space="preserve">GFF 2025 is </w:t>
      </w:r>
      <w:proofErr w:type="spellStart"/>
      <w:r w:rsidR="008154CF" w:rsidRPr="008154CF">
        <w:rPr>
          <w:rFonts w:ascii="Calibri" w:eastAsia="Cambria" w:hAnsi="Calibri" w:cs="Calibri"/>
        </w:rPr>
        <w:t>organised</w:t>
      </w:r>
      <w:proofErr w:type="spellEnd"/>
      <w:r w:rsidR="008154CF" w:rsidRPr="008154CF">
        <w:rPr>
          <w:rFonts w:ascii="Calibri" w:eastAsia="Cambria" w:hAnsi="Calibri" w:cs="Calibri"/>
        </w:rPr>
        <w:t xml:space="preserve"> by the Payments Council of India (PCI), the National Payments Corporation of India (NPCI) and the Fintech Convergence Council (FCC).</w:t>
      </w:r>
    </w:p>
    <w:p w14:paraId="60FCD7F5" w14:textId="6D898863" w:rsidR="008154CF" w:rsidRDefault="008154CF" w:rsidP="008154CF">
      <w:pPr>
        <w:spacing w:after="160" w:line="256" w:lineRule="auto"/>
        <w:jc w:val="both"/>
        <w:rPr>
          <w:rFonts w:ascii="Calibri" w:eastAsia="Cambria" w:hAnsi="Calibri" w:cs="Calibri"/>
        </w:rPr>
      </w:pPr>
      <w:r w:rsidRPr="008154CF">
        <w:rPr>
          <w:rFonts w:ascii="Calibri" w:eastAsia="Cambria" w:hAnsi="Calibri" w:cs="Calibri"/>
        </w:rPr>
        <w:t>Speaking on the future of credit inclusion, Shri Setty said, “We are exploring whether farmers</w:t>
      </w:r>
      <w:r w:rsidR="00417113">
        <w:rPr>
          <w:rFonts w:ascii="Calibri" w:eastAsia="Cambria" w:hAnsi="Calibri" w:cs="Calibri"/>
        </w:rPr>
        <w:t xml:space="preserve"> can avail of credit</w:t>
      </w:r>
      <w:r w:rsidRPr="008154CF">
        <w:rPr>
          <w:rFonts w:ascii="Calibri" w:eastAsia="Cambria" w:hAnsi="Calibri" w:cs="Calibri"/>
        </w:rPr>
        <w:t>, especially through Kisan Credit Cards (KCC)</w:t>
      </w:r>
      <w:r w:rsidR="00417113">
        <w:rPr>
          <w:rFonts w:ascii="Calibri" w:eastAsia="Cambria" w:hAnsi="Calibri" w:cs="Calibri"/>
        </w:rPr>
        <w:t xml:space="preserve">, </w:t>
      </w:r>
      <w:r w:rsidRPr="008154CF">
        <w:rPr>
          <w:rFonts w:ascii="Calibri" w:eastAsia="Cambria" w:hAnsi="Calibri" w:cs="Calibri"/>
        </w:rPr>
        <w:t>given UPI’s deep penetration in rural and semi-urban areas.” He emphasised that inclusion in India “is not complete until we deliver credit to the last mile, including farmers and small vendors.”</w:t>
      </w:r>
    </w:p>
    <w:p w14:paraId="6FCC6AA9" w14:textId="77777777" w:rsidR="00811AC3" w:rsidRPr="00F937AB" w:rsidRDefault="00811AC3" w:rsidP="00811AC3">
      <w:pPr>
        <w:spacing w:after="160" w:line="256" w:lineRule="auto"/>
        <w:jc w:val="both"/>
        <w:rPr>
          <w:rFonts w:ascii="Calibri" w:eastAsia="Cambria" w:hAnsi="Calibri" w:cs="Calibri"/>
        </w:rPr>
      </w:pPr>
      <w:r w:rsidRPr="008E5435">
        <w:rPr>
          <w:rFonts w:ascii="Calibri" w:eastAsia="Calibri" w:hAnsi="Calibri" w:cs="Calibri"/>
        </w:rPr>
        <w:t xml:space="preserve">GFF 2025 is supported by the Ministry of Electronics and Information Technology; the Department of Economic Affairs and the Department of Financial Services, Ministry of Finance; the Department of Promotion of Industry and Internal Trade, Ministry of Commerce and Industry; New, Emerging and Strategic Technology Division,  the Ministry of External Affairs; the Reserve Bank of India (RBI); the Securities and Exchanges Board of India (SEBI), the Insurance Regulatory and Development Authority of India (IRDAI) and the International Financial Services </w:t>
      </w:r>
      <w:proofErr w:type="spellStart"/>
      <w:r w:rsidRPr="008E5435">
        <w:rPr>
          <w:rFonts w:ascii="Calibri" w:eastAsia="Calibri" w:hAnsi="Calibri" w:cs="Calibri"/>
        </w:rPr>
        <w:t>Centres</w:t>
      </w:r>
      <w:proofErr w:type="spellEnd"/>
      <w:r w:rsidRPr="008E5435">
        <w:rPr>
          <w:rFonts w:ascii="Calibri" w:eastAsia="Calibri" w:hAnsi="Calibri" w:cs="Calibri"/>
        </w:rPr>
        <w:t xml:space="preserve"> Authority (IFSCA).</w:t>
      </w:r>
    </w:p>
    <w:p w14:paraId="6FA32BB3" w14:textId="042BEBBD" w:rsidR="00417113" w:rsidRPr="008154CF" w:rsidRDefault="00323510" w:rsidP="00417113">
      <w:pPr>
        <w:spacing w:after="160" w:line="256" w:lineRule="auto"/>
        <w:jc w:val="both"/>
        <w:rPr>
          <w:rFonts w:ascii="Calibri" w:eastAsia="Cambria" w:hAnsi="Calibri" w:cs="Calibri"/>
        </w:rPr>
      </w:pPr>
      <w:r>
        <w:rPr>
          <w:rFonts w:ascii="Calibri" w:eastAsia="Cambria" w:hAnsi="Calibri" w:cs="Calibri"/>
        </w:rPr>
        <w:t>Calling for</w:t>
      </w:r>
      <w:r w:rsidR="00417113">
        <w:rPr>
          <w:rFonts w:ascii="Calibri" w:eastAsia="Cambria" w:hAnsi="Calibri" w:cs="Calibri"/>
        </w:rPr>
        <w:t xml:space="preserve"> </w:t>
      </w:r>
      <w:r w:rsidR="00417113" w:rsidRPr="008154CF">
        <w:rPr>
          <w:rFonts w:ascii="Calibri" w:eastAsia="Cambria" w:hAnsi="Calibri" w:cs="Calibri"/>
        </w:rPr>
        <w:t>Know Your Customer (KYC) reforms, Shri Setty said, “As millions of new customers join the formal banking system, one challenge stands out — simplifying the KYC (Know Your Customer) process. At SBI, we are actively working toward KYC simplification — engaging with regulators and the government to make the process more seamless, efficient, and digital-first.”</w:t>
      </w:r>
    </w:p>
    <w:p w14:paraId="5EF5C578" w14:textId="77777777" w:rsidR="008154CF" w:rsidRPr="008154CF" w:rsidRDefault="008154CF" w:rsidP="008154CF">
      <w:pPr>
        <w:spacing w:after="160" w:line="256" w:lineRule="auto"/>
        <w:jc w:val="both"/>
        <w:rPr>
          <w:rFonts w:ascii="Calibri" w:eastAsia="Cambria" w:hAnsi="Calibri" w:cs="Calibri"/>
        </w:rPr>
      </w:pPr>
      <w:r w:rsidRPr="008154CF">
        <w:rPr>
          <w:rFonts w:ascii="Calibri" w:eastAsia="Cambria" w:hAnsi="Calibri" w:cs="Calibri"/>
        </w:rPr>
        <w:t>He noted that credit availability through UPI would make access as seamless as digital payments. “With predictive AI models, we can provide pre-approved small-value loans to millions of customers. The challenge, however, is not just disbursal — it’s collections,” he said, adding that UPI provides a strong framework to deliver inclusive credit if managed prudently.</w:t>
      </w:r>
    </w:p>
    <w:p w14:paraId="4A357C2A" w14:textId="77777777" w:rsidR="008154CF" w:rsidRPr="008154CF" w:rsidRDefault="008154CF" w:rsidP="008154CF">
      <w:pPr>
        <w:spacing w:after="160" w:line="256" w:lineRule="auto"/>
        <w:jc w:val="both"/>
        <w:rPr>
          <w:rFonts w:ascii="Calibri" w:eastAsia="Cambria" w:hAnsi="Calibri" w:cs="Calibri"/>
        </w:rPr>
      </w:pPr>
      <w:r w:rsidRPr="008154CF">
        <w:rPr>
          <w:rFonts w:ascii="Calibri" w:eastAsia="Cambria" w:hAnsi="Calibri" w:cs="Calibri"/>
        </w:rPr>
        <w:t>He also highlighted SBI’s approach to partnership-driven innovation. “We’re collaborating with nearly a dozen fintechs to develop intuitive digital journeys and governance models. Fintechs bring agility and innovation, and wherever we see scalable, tested solutions, we prefer to adopt or co-develop rather than build everything in-house,” he said.</w:t>
      </w:r>
    </w:p>
    <w:p w14:paraId="23F24AC6" w14:textId="77777777" w:rsidR="000E1DE1" w:rsidRDefault="008154CF" w:rsidP="008154CF">
      <w:pPr>
        <w:spacing w:after="160" w:line="256" w:lineRule="auto"/>
        <w:jc w:val="both"/>
        <w:rPr>
          <w:rFonts w:ascii="Calibri" w:eastAsia="Cambria" w:hAnsi="Calibri" w:cs="Calibri"/>
        </w:rPr>
      </w:pPr>
      <w:r w:rsidRPr="008154CF">
        <w:rPr>
          <w:rFonts w:ascii="Calibri" w:eastAsia="Cambria" w:hAnsi="Calibri" w:cs="Calibri"/>
        </w:rPr>
        <w:t>Discussing SBI’s flagship digital platform, YONO, Shri Setty remarked, “</w:t>
      </w:r>
      <w:r w:rsidR="000E1DE1">
        <w:rPr>
          <w:rFonts w:ascii="Calibri" w:eastAsia="Cambria" w:hAnsi="Calibri" w:cs="Calibri"/>
        </w:rPr>
        <w:t xml:space="preserve">YONO is not just a mobile app, </w:t>
      </w:r>
      <w:r w:rsidRPr="008154CF">
        <w:rPr>
          <w:rFonts w:ascii="Calibri" w:eastAsia="Cambria" w:hAnsi="Calibri" w:cs="Calibri"/>
        </w:rPr>
        <w:t>it’s a reimagined customer journey that also transforms how our branches function.” He announced that “YONO will be available in 15 languages, expanding accessibility even further.” With over 90 million registered users, he said the platform ensures “that no customer is left behind, regardless of geography, income, or digital literacy.</w:t>
      </w:r>
      <w:r w:rsidR="000E1DE1">
        <w:rPr>
          <w:rFonts w:ascii="Calibri" w:eastAsia="Cambria" w:hAnsi="Calibri" w:cs="Calibri"/>
        </w:rPr>
        <w:t xml:space="preserve"> </w:t>
      </w:r>
    </w:p>
    <w:p w14:paraId="363F6222" w14:textId="14A68AD4" w:rsidR="00EC0018" w:rsidRDefault="008154CF" w:rsidP="00422A28">
      <w:pPr>
        <w:spacing w:after="160" w:line="256" w:lineRule="auto"/>
        <w:jc w:val="both"/>
        <w:rPr>
          <w:rFonts w:ascii="Calibri" w:eastAsia="Cambria" w:hAnsi="Calibri" w:cs="Calibri"/>
        </w:rPr>
      </w:pPr>
      <w:r w:rsidRPr="008154CF">
        <w:rPr>
          <w:rFonts w:ascii="Calibri" w:eastAsia="Cambria" w:hAnsi="Calibri" w:cs="Calibri"/>
        </w:rPr>
        <w:lastRenderedPageBreak/>
        <w:t>The session also highlighted SBI’s continued investments in technology to ensure 100% service availability across its digital and physical channels. “Reliability and uptime are non-negotiable,” Shri Setty remarked, underscoring that customer trust depends on consistent, secure, and intuitive banking experiences.</w:t>
      </w:r>
    </w:p>
    <w:p w14:paraId="6327AA3E" w14:textId="064C6C26" w:rsidR="00AC1CAA" w:rsidRDefault="00AC1CAA" w:rsidP="00422A28">
      <w:pPr>
        <w:spacing w:after="160" w:line="256" w:lineRule="auto"/>
        <w:jc w:val="both"/>
        <w:rPr>
          <w:rFonts w:ascii="Calibri" w:eastAsia="Cambria" w:hAnsi="Calibri" w:cs="Calibri"/>
          <w:b/>
        </w:rPr>
      </w:pPr>
      <w:r>
        <w:rPr>
          <w:rFonts w:ascii="Calibri" w:eastAsia="Cambria" w:hAnsi="Calibri" w:cs="Calibri"/>
          <w:b/>
        </w:rPr>
        <w:t>-------------------------------------</w:t>
      </w:r>
    </w:p>
    <w:p w14:paraId="2F5B4EFF" w14:textId="77777777" w:rsidR="00AC1CAA" w:rsidRDefault="00AC1CAA" w:rsidP="00AC1CAA">
      <w:pPr>
        <w:jc w:val="both"/>
        <w:rPr>
          <w:rFonts w:ascii="Garamond" w:eastAsia="Garamond" w:hAnsi="Garamond" w:cs="Garamond"/>
        </w:rPr>
      </w:pPr>
      <w:r>
        <w:rPr>
          <w:rFonts w:ascii="Garamond" w:eastAsia="Garamond" w:hAnsi="Garamond" w:cs="Garamond"/>
        </w:rPr>
        <w:t xml:space="preserve">For more information on GFF 2025 please visit: </w:t>
      </w:r>
      <w:hyperlink r:id="rId10">
        <w:r>
          <w:rPr>
            <w:rFonts w:ascii="Garamond" w:eastAsia="Garamond" w:hAnsi="Garamond" w:cs="Garamond"/>
            <w:color w:val="000000"/>
            <w:u w:val="single"/>
          </w:rPr>
          <w:t>https://www.globalfintechfest.com/</w:t>
        </w:r>
      </w:hyperlink>
    </w:p>
    <w:p w14:paraId="5CF2510B" w14:textId="77777777" w:rsidR="00AC1CAA" w:rsidRDefault="00AC1CAA" w:rsidP="00AC1CAA">
      <w:pPr>
        <w:jc w:val="both"/>
        <w:rPr>
          <w:rFonts w:ascii="Garamond" w:eastAsia="Garamond" w:hAnsi="Garamond" w:cs="Garamond"/>
        </w:rPr>
      </w:pPr>
      <w:r>
        <w:rPr>
          <w:rFonts w:ascii="Garamond" w:eastAsia="Garamond" w:hAnsi="Garamond" w:cs="Garamond"/>
          <w:noProof/>
          <w:lang w:val="en-GB" w:eastAsia="en-GB"/>
        </w:rPr>
        <w:drawing>
          <wp:inline distT="0" distB="0" distL="0" distR="0" wp14:anchorId="571C0CFA" wp14:editId="6A2AC7EE">
            <wp:extent cx="2146300" cy="2146300"/>
            <wp:effectExtent l="0" t="0" r="0" b="0"/>
            <wp:docPr id="4" name="image4.png" descr="A qr code with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png" descr="A qr code with a logo&#10;&#10;AI-generated content may be incorrect."/>
                    <pic:cNvPicPr preferRelativeResize="0"/>
                  </pic:nvPicPr>
                  <pic:blipFill>
                    <a:blip r:embed="rId11"/>
                    <a:srcRect/>
                    <a:stretch>
                      <a:fillRect/>
                    </a:stretch>
                  </pic:blipFill>
                  <pic:spPr>
                    <a:xfrm>
                      <a:off x="0" y="0"/>
                      <a:ext cx="2146300" cy="2146300"/>
                    </a:xfrm>
                    <a:prstGeom prst="rect">
                      <a:avLst/>
                    </a:prstGeom>
                    <a:ln/>
                  </pic:spPr>
                </pic:pic>
              </a:graphicData>
            </a:graphic>
          </wp:inline>
        </w:drawing>
      </w:r>
    </w:p>
    <w:p w14:paraId="1EEE2868" w14:textId="77777777" w:rsidR="00AC1CAA" w:rsidRDefault="00AC1CAA" w:rsidP="00422A28">
      <w:pPr>
        <w:spacing w:after="160" w:line="256" w:lineRule="auto"/>
        <w:jc w:val="both"/>
        <w:rPr>
          <w:rFonts w:ascii="Calibri" w:eastAsia="Cambria" w:hAnsi="Calibri" w:cs="Calibri"/>
          <w:b/>
        </w:rPr>
      </w:pPr>
    </w:p>
    <w:p w14:paraId="569FAD7F" w14:textId="77777777" w:rsidR="00230A5A" w:rsidRDefault="00230A5A" w:rsidP="00422A28">
      <w:pPr>
        <w:spacing w:after="160" w:line="256" w:lineRule="auto"/>
        <w:jc w:val="both"/>
        <w:rPr>
          <w:rFonts w:ascii="Calibri" w:eastAsia="Cambria" w:hAnsi="Calibri" w:cs="Calibri"/>
          <w:b/>
        </w:rPr>
      </w:pPr>
    </w:p>
    <w:p w14:paraId="40E7E135" w14:textId="77777777" w:rsidR="00A97112" w:rsidRDefault="00A97112" w:rsidP="00A97112">
      <w:pPr>
        <w:spacing w:line="256" w:lineRule="auto"/>
        <w:jc w:val="both"/>
        <w:rPr>
          <w:rFonts w:ascii="Garamond" w:eastAsia="Garamond" w:hAnsi="Garamond" w:cs="Garamond"/>
          <w:b/>
        </w:rPr>
      </w:pPr>
      <w:r>
        <w:rPr>
          <w:rFonts w:ascii="Garamond" w:eastAsia="Garamond" w:hAnsi="Garamond" w:cs="Garamond"/>
          <w:b/>
        </w:rPr>
        <w:t>About Payments Council of India (PCI)</w:t>
      </w:r>
    </w:p>
    <w:p w14:paraId="1AB77BCF" w14:textId="77777777" w:rsidR="00A97112" w:rsidRDefault="00A97112" w:rsidP="00A97112">
      <w:pPr>
        <w:jc w:val="both"/>
        <w:rPr>
          <w:rFonts w:ascii="Garamond" w:eastAsia="Garamond" w:hAnsi="Garamond" w:cs="Garamond"/>
        </w:rPr>
      </w:pPr>
      <w:r>
        <w:rPr>
          <w:rFonts w:ascii="Garamond" w:eastAsia="Garamond" w:hAnsi="Garamond" w:cs="Garamond"/>
        </w:rPr>
        <w:t>The Payments Council of India (PCI) was formed under the aegis of the Internet and Mobile Association of India (PCI) in the year 2013 catering to the needs of the digital payment industry. The Council was formed inter-alia to represent the various non-banking payment industry players, and to address and help resolve various industry-level issues and barriers that require discussion and action.</w:t>
      </w:r>
    </w:p>
    <w:p w14:paraId="0C15679B" w14:textId="77777777" w:rsidR="00A97112" w:rsidRDefault="00A97112" w:rsidP="00A97112">
      <w:pPr>
        <w:spacing w:line="256" w:lineRule="auto"/>
        <w:jc w:val="both"/>
        <w:rPr>
          <w:rFonts w:ascii="Garamond" w:eastAsia="Garamond" w:hAnsi="Garamond" w:cs="Garamond"/>
        </w:rPr>
      </w:pPr>
      <w:r>
        <w:rPr>
          <w:rFonts w:ascii="Garamond" w:eastAsia="Garamond" w:hAnsi="Garamond" w:cs="Garamond"/>
        </w:rPr>
        <w:t>The council works with its 180+ members, encompassing over 90% of the industry to promote payments industry growth and to support our national goals of 'Cashless Society' and ‘Growth of Financial Inclusion’ which is also the Vision Shared by the RBI and the Government of India. PCI represents the complete digital payments ecosystem of India through its various committees representing different sectors.</w:t>
      </w:r>
    </w:p>
    <w:p w14:paraId="6F418DC0" w14:textId="77777777" w:rsidR="00A97112" w:rsidRDefault="00A97112" w:rsidP="00422A28">
      <w:pPr>
        <w:spacing w:after="160" w:line="256" w:lineRule="auto"/>
        <w:jc w:val="both"/>
        <w:rPr>
          <w:rFonts w:ascii="Calibri" w:eastAsia="Cambria" w:hAnsi="Calibri" w:cs="Calibri"/>
          <w:b/>
        </w:rPr>
      </w:pPr>
    </w:p>
    <w:p w14:paraId="6C11992F" w14:textId="77777777" w:rsidR="00ED4E15" w:rsidRDefault="00ED4E15" w:rsidP="00ED4E15">
      <w:pPr>
        <w:spacing w:line="256" w:lineRule="auto"/>
        <w:jc w:val="both"/>
        <w:rPr>
          <w:rFonts w:ascii="Garamond" w:eastAsia="Garamond" w:hAnsi="Garamond" w:cs="Garamond"/>
          <w:b/>
        </w:rPr>
      </w:pPr>
      <w:r>
        <w:rPr>
          <w:rFonts w:ascii="Garamond" w:eastAsia="Garamond" w:hAnsi="Garamond" w:cs="Garamond"/>
          <w:b/>
        </w:rPr>
        <w:t>About Fintech Convergence Council (FCC)</w:t>
      </w:r>
    </w:p>
    <w:p w14:paraId="7A2EA299" w14:textId="77777777" w:rsidR="00ED4E15" w:rsidRDefault="00ED4E15" w:rsidP="00ED4E15">
      <w:pPr>
        <w:jc w:val="both"/>
        <w:rPr>
          <w:rFonts w:ascii="Garamond" w:eastAsia="Garamond" w:hAnsi="Garamond" w:cs="Garamond"/>
        </w:rPr>
      </w:pPr>
      <w:r>
        <w:rPr>
          <w:rFonts w:ascii="Garamond" w:eastAsia="Garamond" w:hAnsi="Garamond" w:cs="Garamond"/>
        </w:rPr>
        <w:t>Established in 2018, the Fintech Convergence Council (FCC) is an industry body representing the collective voice of fintech companies in India. Since its inception, FCC has evolved into a leading platform with a diverse membership of over 200 fintech entities across key segments including digital lending, wealth, insurance, digital financial services, RegTech, and credit bureaus.</w:t>
      </w:r>
    </w:p>
    <w:p w14:paraId="6A20B19A" w14:textId="77777777" w:rsidR="00ED4E15" w:rsidRDefault="00ED4E15" w:rsidP="00ED4E15">
      <w:pPr>
        <w:jc w:val="both"/>
        <w:rPr>
          <w:rFonts w:ascii="Garamond" w:eastAsia="Garamond" w:hAnsi="Garamond" w:cs="Garamond"/>
        </w:rPr>
      </w:pPr>
      <w:r>
        <w:rPr>
          <w:rFonts w:ascii="Garamond" w:eastAsia="Garamond" w:hAnsi="Garamond" w:cs="Garamond"/>
        </w:rPr>
        <w:t>FCC's core mission is to address sector-specific challenges and provide a unified platform for dialogue within the broader BFSI (Banking, Financial Services, and Insurance) ecosystem. The council actively engages with regulators and policymakers to help shape progressive policy frameworks and promote a balanced approach to innovation and compliance.</w:t>
      </w:r>
    </w:p>
    <w:p w14:paraId="034A620D" w14:textId="77777777" w:rsidR="00ED4E15" w:rsidRDefault="00ED4E15" w:rsidP="00ED4E15">
      <w:pPr>
        <w:spacing w:line="256" w:lineRule="auto"/>
        <w:jc w:val="both"/>
        <w:rPr>
          <w:rFonts w:ascii="Garamond" w:eastAsia="Garamond" w:hAnsi="Garamond" w:cs="Garamond"/>
        </w:rPr>
      </w:pPr>
      <w:r>
        <w:rPr>
          <w:rFonts w:ascii="Garamond" w:eastAsia="Garamond" w:hAnsi="Garamond" w:cs="Garamond"/>
        </w:rPr>
        <w:lastRenderedPageBreak/>
        <w:t>In addition to policy advocacy, FCC also focuses on knowledge sharing, strengthening consumer education, and promoting responsible finance through awareness-building initiatives on customer protection, digital literacy, and best practices in fintech.</w:t>
      </w:r>
    </w:p>
    <w:p w14:paraId="6AD18D76" w14:textId="77777777" w:rsidR="00FA4CF0" w:rsidRDefault="00FA4CF0"/>
    <w:sectPr w:rsidR="00FA4CF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5FA7" w14:textId="77777777" w:rsidR="001F64A2" w:rsidRDefault="001F64A2">
      <w:pPr>
        <w:spacing w:line="240" w:lineRule="auto"/>
      </w:pPr>
      <w:r>
        <w:separator/>
      </w:r>
    </w:p>
  </w:endnote>
  <w:endnote w:type="continuationSeparator" w:id="0">
    <w:p w14:paraId="507E8751" w14:textId="77777777" w:rsidR="001F64A2" w:rsidRDefault="001F64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2F333" w14:textId="77777777" w:rsidR="001F64A2" w:rsidRDefault="001F64A2">
      <w:pPr>
        <w:spacing w:line="240" w:lineRule="auto"/>
      </w:pPr>
      <w:r>
        <w:separator/>
      </w:r>
    </w:p>
  </w:footnote>
  <w:footnote w:type="continuationSeparator" w:id="0">
    <w:p w14:paraId="754CE8C8" w14:textId="77777777" w:rsidR="001F64A2" w:rsidRDefault="001F64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466" w14:textId="4FCF88B0" w:rsidR="00950032" w:rsidRPr="00F02D56" w:rsidRDefault="005F4FD5" w:rsidP="00F02D56">
    <w:pPr>
      <w:jc w:val="center"/>
      <w:rPr>
        <w:lang w:val="en-IN"/>
      </w:rPr>
    </w:pPr>
    <w:r w:rsidRPr="005F4FD5">
      <w:rPr>
        <w:noProof/>
        <w:lang w:val="en-GB" w:eastAsia="en-GB"/>
      </w:rPr>
      <w:drawing>
        <wp:inline distT="0" distB="0" distL="0" distR="0" wp14:anchorId="67BBA54C" wp14:editId="4A506F2B">
          <wp:extent cx="1774348" cy="1238250"/>
          <wp:effectExtent l="0" t="0" r="0" b="0"/>
          <wp:docPr id="1510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962319" name=""/>
                  <pic:cNvPicPr/>
                </pic:nvPicPr>
                <pic:blipFill>
                  <a:blip r:embed="rId1"/>
                  <a:stretch>
                    <a:fillRect/>
                  </a:stretch>
                </pic:blipFill>
                <pic:spPr>
                  <a:xfrm>
                    <a:off x="0" y="0"/>
                    <a:ext cx="1854488" cy="1294177"/>
                  </a:xfrm>
                  <a:prstGeom prst="rect">
                    <a:avLst/>
                  </a:prstGeom>
                </pic:spPr>
              </pic:pic>
            </a:graphicData>
          </a:graphic>
        </wp:inline>
      </w:drawing>
    </w:r>
  </w:p>
  <w:p w14:paraId="073DF848" w14:textId="77777777" w:rsidR="00950032" w:rsidRDefault="00950032" w:rsidP="00F02D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0361A"/>
    <w:multiLevelType w:val="hybridMultilevel"/>
    <w:tmpl w:val="840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A57E4"/>
    <w:multiLevelType w:val="hybridMultilevel"/>
    <w:tmpl w:val="E48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57783">
    <w:abstractNumId w:val="0"/>
  </w:num>
  <w:num w:numId="2" w16cid:durableId="78735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1F2"/>
    <w:rsid w:val="000B1BAB"/>
    <w:rsid w:val="000E1DE1"/>
    <w:rsid w:val="00181AFD"/>
    <w:rsid w:val="001979F7"/>
    <w:rsid w:val="001F64A2"/>
    <w:rsid w:val="00230A5A"/>
    <w:rsid w:val="00267A20"/>
    <w:rsid w:val="00295F04"/>
    <w:rsid w:val="002D7D87"/>
    <w:rsid w:val="00300C77"/>
    <w:rsid w:val="00323510"/>
    <w:rsid w:val="003303F1"/>
    <w:rsid w:val="003A36FD"/>
    <w:rsid w:val="003B0F92"/>
    <w:rsid w:val="00417113"/>
    <w:rsid w:val="00422A28"/>
    <w:rsid w:val="00477804"/>
    <w:rsid w:val="005232E9"/>
    <w:rsid w:val="00563E60"/>
    <w:rsid w:val="005D66A0"/>
    <w:rsid w:val="005F4FD5"/>
    <w:rsid w:val="00600ED7"/>
    <w:rsid w:val="00653887"/>
    <w:rsid w:val="00700063"/>
    <w:rsid w:val="007A6304"/>
    <w:rsid w:val="007C40F4"/>
    <w:rsid w:val="007C465C"/>
    <w:rsid w:val="00811AC3"/>
    <w:rsid w:val="008154CF"/>
    <w:rsid w:val="00831D51"/>
    <w:rsid w:val="008579D7"/>
    <w:rsid w:val="008C36E8"/>
    <w:rsid w:val="009009D4"/>
    <w:rsid w:val="009305B7"/>
    <w:rsid w:val="00950032"/>
    <w:rsid w:val="009A528B"/>
    <w:rsid w:val="00A009B2"/>
    <w:rsid w:val="00A97112"/>
    <w:rsid w:val="00AA67A2"/>
    <w:rsid w:val="00AB39FE"/>
    <w:rsid w:val="00AC1CAA"/>
    <w:rsid w:val="00B7236D"/>
    <w:rsid w:val="00BC5BC7"/>
    <w:rsid w:val="00BD0C86"/>
    <w:rsid w:val="00C20F5A"/>
    <w:rsid w:val="00C336A1"/>
    <w:rsid w:val="00D336FE"/>
    <w:rsid w:val="00D50B11"/>
    <w:rsid w:val="00D55C44"/>
    <w:rsid w:val="00E310D3"/>
    <w:rsid w:val="00E5412E"/>
    <w:rsid w:val="00E7129D"/>
    <w:rsid w:val="00EC0018"/>
    <w:rsid w:val="00ED4E15"/>
    <w:rsid w:val="00EE2B73"/>
    <w:rsid w:val="00EF0F0A"/>
    <w:rsid w:val="00F001F2"/>
    <w:rsid w:val="00F937AB"/>
    <w:rsid w:val="00FA4CF0"/>
    <w:rsid w:val="00FF2A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2B41D"/>
  <w15:chartTrackingRefBased/>
  <w15:docId w15:val="{267C9913-7ED8-41C0-AE4C-A973E871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2A28"/>
    <w:pPr>
      <w:spacing w:after="0" w:line="276"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A28"/>
    <w:pPr>
      <w:ind w:left="720"/>
      <w:contextualSpacing/>
    </w:pPr>
  </w:style>
  <w:style w:type="paragraph" w:styleId="Header">
    <w:name w:val="header"/>
    <w:basedOn w:val="Normal"/>
    <w:link w:val="HeaderChar"/>
    <w:uiPriority w:val="99"/>
    <w:unhideWhenUsed/>
    <w:rsid w:val="00181AFD"/>
    <w:pPr>
      <w:tabs>
        <w:tab w:val="center" w:pos="4513"/>
        <w:tab w:val="right" w:pos="9026"/>
      </w:tabs>
      <w:spacing w:line="240" w:lineRule="auto"/>
    </w:pPr>
  </w:style>
  <w:style w:type="character" w:customStyle="1" w:styleId="HeaderChar">
    <w:name w:val="Header Char"/>
    <w:basedOn w:val="DefaultParagraphFont"/>
    <w:link w:val="Header"/>
    <w:uiPriority w:val="99"/>
    <w:rsid w:val="00181AFD"/>
    <w:rPr>
      <w:rFonts w:ascii="Arial" w:eastAsia="Arial" w:hAnsi="Arial" w:cs="Arial"/>
      <w:lang w:val="en-US"/>
    </w:rPr>
  </w:style>
  <w:style w:type="paragraph" w:styleId="Footer">
    <w:name w:val="footer"/>
    <w:basedOn w:val="Normal"/>
    <w:link w:val="FooterChar"/>
    <w:uiPriority w:val="99"/>
    <w:unhideWhenUsed/>
    <w:rsid w:val="00181AFD"/>
    <w:pPr>
      <w:tabs>
        <w:tab w:val="center" w:pos="4513"/>
        <w:tab w:val="right" w:pos="9026"/>
      </w:tabs>
      <w:spacing w:line="240" w:lineRule="auto"/>
    </w:pPr>
  </w:style>
  <w:style w:type="character" w:customStyle="1" w:styleId="FooterChar">
    <w:name w:val="Footer Char"/>
    <w:basedOn w:val="DefaultParagraphFont"/>
    <w:link w:val="Footer"/>
    <w:uiPriority w:val="99"/>
    <w:rsid w:val="00181AF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globalfintechfes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3A5F03E50CB42804C63F8ABAF14AD" ma:contentTypeVersion="11" ma:contentTypeDescription="Create a new document." ma:contentTypeScope="" ma:versionID="01b78c0facf9037ea69d2087cf4c3eda">
  <xsd:schema xmlns:xsd="http://www.w3.org/2001/XMLSchema" xmlns:xs="http://www.w3.org/2001/XMLSchema" xmlns:p="http://schemas.microsoft.com/office/2006/metadata/properties" xmlns:ns3="0369809b-8bc3-4f69-8120-69b6efac0f90" targetNamespace="http://schemas.microsoft.com/office/2006/metadata/properties" ma:root="true" ma:fieldsID="d9616c2cbe5acb1d2c2f36a92905ef7f" ns3:_="">
    <xsd:import namespace="0369809b-8bc3-4f69-8120-69b6efac0f9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9809b-8bc3-4f69-8120-69b6efac0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69809b-8bc3-4f69-8120-69b6efac0f90" xsi:nil="true"/>
  </documentManagement>
</p:properties>
</file>

<file path=customXml/itemProps1.xml><?xml version="1.0" encoding="utf-8"?>
<ds:datastoreItem xmlns:ds="http://schemas.openxmlformats.org/officeDocument/2006/customXml" ds:itemID="{49F3D524-5B03-4FF2-A56A-2F41E78EEC36}">
  <ds:schemaRefs>
    <ds:schemaRef ds:uri="http://schemas.microsoft.com/sharepoint/v3/contenttype/forms"/>
  </ds:schemaRefs>
</ds:datastoreItem>
</file>

<file path=customXml/itemProps2.xml><?xml version="1.0" encoding="utf-8"?>
<ds:datastoreItem xmlns:ds="http://schemas.openxmlformats.org/officeDocument/2006/customXml" ds:itemID="{F69D711D-EE14-48D7-9EC6-CF705CD2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9809b-8bc3-4f69-8120-69b6efac0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32B59-CA06-4D2D-9F9D-4CAB85619B45}">
  <ds:schemaRefs>
    <ds:schemaRef ds:uri="http://purl.org/dc/elements/1.1/"/>
    <ds:schemaRef ds:uri="http://schemas.microsoft.com/office/2006/documentManagement/types"/>
    <ds:schemaRef ds:uri="http://purl.org/dc/dcmitype/"/>
    <ds:schemaRef ds:uri="0369809b-8bc3-4f69-8120-69b6efac0f90"/>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4673</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Zabeen Motorwala</dc:creator>
  <cp:keywords/>
  <dc:description/>
  <cp:lastModifiedBy>Nilanjan Hajra</cp:lastModifiedBy>
  <cp:revision>2</cp:revision>
  <dcterms:created xsi:type="dcterms:W3CDTF">2025-10-08T08:51:00Z</dcterms:created>
  <dcterms:modified xsi:type="dcterms:W3CDTF">2025-10-08T08:51:00Z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0x010100AA23A5F03E50CB42804C63F8ABAF14AD</vt:lpwstr>
  </property>
</Properties>
</file>