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B98E" w14:textId="77777777" w:rsidR="00670870" w:rsidRDefault="008315D1" w:rsidP="00332F8A">
      <w:pPr>
        <w:spacing w:line="256" w:lineRule="auto"/>
        <w:jc w:val="center"/>
        <w:rPr>
          <w:rFonts w:asciiTheme="minorHAnsi" w:hAnsiTheme="minorHAnsi" w:cstheme="minorHAnsi"/>
          <w:b/>
          <w:sz w:val="28"/>
          <w:szCs w:val="28"/>
        </w:rPr>
      </w:pPr>
      <w:r>
        <w:rPr>
          <w:rFonts w:asciiTheme="minorHAnsi" w:hAnsiTheme="minorHAnsi" w:cstheme="minorHAnsi"/>
          <w:b/>
          <w:sz w:val="28"/>
          <w:szCs w:val="28"/>
        </w:rPr>
        <w:t xml:space="preserve">Investor </w:t>
      </w:r>
      <w:r w:rsidR="00670870">
        <w:rPr>
          <w:rFonts w:asciiTheme="minorHAnsi" w:hAnsiTheme="minorHAnsi" w:cstheme="minorHAnsi"/>
          <w:b/>
          <w:sz w:val="28"/>
          <w:szCs w:val="28"/>
        </w:rPr>
        <w:t>P</w:t>
      </w:r>
      <w:r>
        <w:rPr>
          <w:rFonts w:asciiTheme="minorHAnsi" w:hAnsiTheme="minorHAnsi" w:cstheme="minorHAnsi"/>
          <w:b/>
          <w:sz w:val="28"/>
          <w:szCs w:val="28"/>
        </w:rPr>
        <w:t xml:space="preserve">articipation </w:t>
      </w:r>
      <w:r w:rsidR="00670870">
        <w:rPr>
          <w:rFonts w:asciiTheme="minorHAnsi" w:hAnsiTheme="minorHAnsi" w:cstheme="minorHAnsi"/>
          <w:b/>
          <w:sz w:val="28"/>
          <w:szCs w:val="28"/>
        </w:rPr>
        <w:t>H</w:t>
      </w:r>
      <w:r>
        <w:rPr>
          <w:rFonts w:asciiTheme="minorHAnsi" w:hAnsiTheme="minorHAnsi" w:cstheme="minorHAnsi"/>
          <w:b/>
          <w:sz w:val="28"/>
          <w:szCs w:val="28"/>
        </w:rPr>
        <w:t xml:space="preserve">as </w:t>
      </w:r>
      <w:r w:rsidR="00670870">
        <w:rPr>
          <w:rFonts w:asciiTheme="minorHAnsi" w:hAnsiTheme="minorHAnsi" w:cstheme="minorHAnsi"/>
          <w:b/>
          <w:sz w:val="28"/>
          <w:szCs w:val="28"/>
        </w:rPr>
        <w:t>R</w:t>
      </w:r>
      <w:r>
        <w:rPr>
          <w:rFonts w:asciiTheme="minorHAnsi" w:hAnsiTheme="minorHAnsi" w:cstheme="minorHAnsi"/>
          <w:b/>
          <w:sz w:val="28"/>
          <w:szCs w:val="28"/>
        </w:rPr>
        <w:t xml:space="preserve">isen to 134 million in 5 years: </w:t>
      </w:r>
    </w:p>
    <w:p w14:paraId="7A8D3F78" w14:textId="7A89567C" w:rsidR="005E1D99" w:rsidRPr="00F3346B" w:rsidRDefault="005E1D99" w:rsidP="00332F8A">
      <w:pPr>
        <w:spacing w:line="256" w:lineRule="auto"/>
        <w:jc w:val="center"/>
        <w:rPr>
          <w:rFonts w:asciiTheme="minorHAnsi" w:eastAsia="Times New Roman" w:hAnsiTheme="minorHAnsi" w:cstheme="minorHAnsi"/>
          <w:b/>
          <w:bCs/>
          <w:sz w:val="28"/>
          <w:szCs w:val="28"/>
          <w:lang w:val="en-GB" w:eastAsia="en-GB"/>
        </w:rPr>
      </w:pPr>
      <w:r w:rsidRPr="00F3346B">
        <w:rPr>
          <w:rFonts w:asciiTheme="minorHAnsi" w:hAnsiTheme="minorHAnsi" w:cstheme="minorHAnsi"/>
          <w:b/>
          <w:sz w:val="28"/>
          <w:szCs w:val="28"/>
        </w:rPr>
        <w:t>Shri Tuhin Kanta Pandey, Chairman, SEBI</w:t>
      </w:r>
    </w:p>
    <w:p w14:paraId="17C8CAF1" w14:textId="77777777" w:rsidR="005E1D99" w:rsidRPr="002C1709" w:rsidRDefault="005E1D99" w:rsidP="005E1D99">
      <w:pPr>
        <w:spacing w:line="256" w:lineRule="auto"/>
        <w:jc w:val="center"/>
        <w:rPr>
          <w:rFonts w:ascii="Calibri" w:eastAsia="Cambria" w:hAnsi="Calibri" w:cs="Calibri"/>
          <w:b/>
          <w:sz w:val="28"/>
          <w:szCs w:val="28"/>
        </w:rPr>
      </w:pPr>
      <w:r>
        <w:t xml:space="preserve"> </w:t>
      </w:r>
    </w:p>
    <w:p w14:paraId="3A5C2F4F" w14:textId="1CC79628" w:rsidR="00736399" w:rsidRPr="00F1171A" w:rsidRDefault="005E1D99" w:rsidP="00736399">
      <w:pPr>
        <w:spacing w:after="160" w:line="256" w:lineRule="auto"/>
        <w:jc w:val="both"/>
        <w:rPr>
          <w:rFonts w:asciiTheme="minorHAnsi" w:eastAsia="Times New Roman" w:hAnsiTheme="minorHAnsi" w:cstheme="minorHAnsi"/>
          <w:bCs/>
          <w:lang w:val="en-GB" w:eastAsia="en-GB"/>
        </w:rPr>
      </w:pPr>
      <w:r w:rsidRPr="008E5435">
        <w:rPr>
          <w:rFonts w:ascii="Calibri" w:eastAsia="Cambria" w:hAnsi="Calibri" w:cs="Calibri"/>
          <w:b/>
        </w:rPr>
        <w:t xml:space="preserve">Mumbai, October </w:t>
      </w:r>
      <w:r>
        <w:rPr>
          <w:rFonts w:ascii="Calibri" w:eastAsia="Cambria" w:hAnsi="Calibri" w:cs="Calibri"/>
          <w:b/>
        </w:rPr>
        <w:t>8</w:t>
      </w:r>
      <w:r w:rsidRPr="008E5435">
        <w:rPr>
          <w:rFonts w:ascii="Calibri" w:eastAsia="Cambria" w:hAnsi="Calibri" w:cs="Calibri"/>
          <w:b/>
        </w:rPr>
        <w:t xml:space="preserve">, 2025: </w:t>
      </w:r>
      <w:r w:rsidR="000A1971">
        <w:rPr>
          <w:rFonts w:ascii="Calibri" w:eastAsia="Cambria" w:hAnsi="Calibri" w:cs="Calibri"/>
          <w:b/>
        </w:rPr>
        <w:t>“</w:t>
      </w:r>
      <w:r w:rsidR="000A1971" w:rsidRPr="00736399">
        <w:rPr>
          <w:rFonts w:asciiTheme="minorHAnsi" w:eastAsia="Times New Roman" w:hAnsiTheme="minorHAnsi" w:cstheme="minorHAnsi"/>
        </w:rPr>
        <w:t>SEBI’s focus on digital transformation</w:t>
      </w:r>
      <w:r w:rsidR="000A1971">
        <w:rPr>
          <w:rFonts w:asciiTheme="minorHAnsi" w:eastAsia="Times New Roman" w:hAnsiTheme="minorHAnsi" w:cstheme="minorHAnsi"/>
        </w:rPr>
        <w:t xml:space="preserve">, such as </w:t>
      </w:r>
      <w:r w:rsidR="000A1971">
        <w:rPr>
          <w:rFonts w:asciiTheme="minorHAnsi" w:eastAsia="Times New Roman" w:hAnsiTheme="minorHAnsi" w:cstheme="minorHAnsi"/>
          <w:bCs/>
        </w:rPr>
        <w:t xml:space="preserve">e-KYC, </w:t>
      </w:r>
      <w:r w:rsidR="000A1971">
        <w:rPr>
          <w:rFonts w:asciiTheme="minorHAnsi" w:eastAsia="Times New Roman" w:hAnsiTheme="minorHAnsi" w:cstheme="minorHAnsi"/>
        </w:rPr>
        <w:t xml:space="preserve">simplified onboarding, </w:t>
      </w:r>
      <w:r w:rsidR="000A1971" w:rsidRPr="00736399">
        <w:rPr>
          <w:rFonts w:asciiTheme="minorHAnsi" w:eastAsia="Times New Roman" w:hAnsiTheme="minorHAnsi" w:cstheme="minorHAnsi"/>
        </w:rPr>
        <w:t>and mobile-first investment platforms</w:t>
      </w:r>
      <w:r w:rsidR="000A1971">
        <w:rPr>
          <w:rFonts w:asciiTheme="minorHAnsi" w:eastAsia="Times New Roman" w:hAnsiTheme="minorHAnsi" w:cstheme="minorHAnsi"/>
        </w:rPr>
        <w:t xml:space="preserve">, has led to </w:t>
      </w:r>
      <w:r w:rsidR="000A1971" w:rsidRPr="00736399">
        <w:rPr>
          <w:rFonts w:asciiTheme="minorHAnsi" w:eastAsia="Times New Roman" w:hAnsiTheme="minorHAnsi" w:cstheme="minorHAnsi"/>
        </w:rPr>
        <w:t xml:space="preserve">investor participation </w:t>
      </w:r>
      <w:r w:rsidR="000A1971">
        <w:rPr>
          <w:rFonts w:asciiTheme="minorHAnsi" w:eastAsia="Times New Roman" w:hAnsiTheme="minorHAnsi" w:cstheme="minorHAnsi"/>
        </w:rPr>
        <w:t>rising to</w:t>
      </w:r>
      <w:r w:rsidR="000A1971" w:rsidRPr="00F1171A">
        <w:rPr>
          <w:rFonts w:asciiTheme="minorHAnsi" w:eastAsia="Times New Roman" w:hAnsiTheme="minorHAnsi" w:cstheme="minorHAnsi"/>
        </w:rPr>
        <w:t xml:space="preserve"> 134 million over the past five years</w:t>
      </w:r>
      <w:r w:rsidR="000A1971">
        <w:rPr>
          <w:rFonts w:asciiTheme="minorHAnsi" w:eastAsia="Times New Roman" w:hAnsiTheme="minorHAnsi" w:cstheme="minorHAnsi"/>
        </w:rPr>
        <w:t>,” sa</w:t>
      </w:r>
      <w:r w:rsidR="00B6469F">
        <w:rPr>
          <w:rFonts w:asciiTheme="minorHAnsi" w:eastAsia="Times New Roman" w:hAnsiTheme="minorHAnsi" w:cstheme="minorHAnsi"/>
        </w:rPr>
        <w:t>id</w:t>
      </w:r>
      <w:r w:rsidR="000A1971">
        <w:rPr>
          <w:rFonts w:asciiTheme="minorHAnsi" w:eastAsia="Times New Roman" w:hAnsiTheme="minorHAnsi" w:cstheme="minorHAnsi"/>
        </w:rPr>
        <w:t xml:space="preserve"> </w:t>
      </w:r>
      <w:r w:rsidR="00724A0E" w:rsidRPr="00F1171A">
        <w:rPr>
          <w:rFonts w:asciiTheme="minorHAnsi" w:eastAsia="Times New Roman" w:hAnsiTheme="minorHAnsi" w:cstheme="minorHAnsi"/>
          <w:bCs/>
          <w:lang w:val="en-GB" w:eastAsia="en-GB"/>
        </w:rPr>
        <w:t xml:space="preserve">Shri </w:t>
      </w:r>
      <w:r w:rsidR="00724A0E" w:rsidRPr="00F1171A">
        <w:rPr>
          <w:rFonts w:asciiTheme="minorHAnsi" w:hAnsiTheme="minorHAnsi" w:cstheme="minorHAnsi"/>
        </w:rPr>
        <w:t>Tuhin Kanta Pandey, Chairman, Securities and Exchange Board of India (SEBI)</w:t>
      </w:r>
      <w:r w:rsidR="000A1971">
        <w:rPr>
          <w:rFonts w:asciiTheme="minorHAnsi" w:hAnsiTheme="minorHAnsi" w:cstheme="minorHAnsi"/>
        </w:rPr>
        <w:t xml:space="preserve">. He was speaking </w:t>
      </w:r>
      <w:r w:rsidR="00736399" w:rsidRPr="00F1171A">
        <w:rPr>
          <w:rFonts w:asciiTheme="minorHAnsi" w:hAnsiTheme="minorHAnsi" w:cstheme="minorHAnsi"/>
        </w:rPr>
        <w:t xml:space="preserve">at a panel discussion </w:t>
      </w:r>
      <w:r w:rsidR="00EB5991">
        <w:rPr>
          <w:rFonts w:asciiTheme="minorHAnsi" w:hAnsiTheme="minorHAnsi" w:cstheme="minorHAnsi"/>
        </w:rPr>
        <w:t>on</w:t>
      </w:r>
      <w:r w:rsidR="00736399" w:rsidRPr="00F1171A">
        <w:rPr>
          <w:rFonts w:asciiTheme="minorHAnsi" w:hAnsiTheme="minorHAnsi" w:cstheme="minorHAnsi"/>
        </w:rPr>
        <w:t xml:space="preserve"> </w:t>
      </w:r>
      <w:r w:rsidR="00736399" w:rsidRPr="00F1171A">
        <w:rPr>
          <w:rStyle w:val="Emphasis"/>
          <w:rFonts w:asciiTheme="minorHAnsi" w:hAnsiTheme="minorHAnsi" w:cstheme="minorHAnsi"/>
          <w:i w:val="0"/>
        </w:rPr>
        <w:t xml:space="preserve">‘Leveraging Technology in Securities Market while Mitigating Risk’ </w:t>
      </w:r>
      <w:r w:rsidR="00736399" w:rsidRPr="00F1171A">
        <w:rPr>
          <w:rFonts w:asciiTheme="minorHAnsi" w:eastAsia="Times New Roman" w:hAnsiTheme="minorHAnsi" w:cstheme="minorHAnsi"/>
          <w:bCs/>
          <w:lang w:val="en-GB" w:eastAsia="en-GB"/>
        </w:rPr>
        <w:t>at the Global Fintech Fest (GFF) 2025, being held at the Jio World Centre, Mumbai, from October 7 to 9. GFF 2025 is organised by the Payments Council of India (PCI), the National Payments Corporation of India (NPCI) and the Fintech Convergence Council (FCC).</w:t>
      </w:r>
    </w:p>
    <w:p w14:paraId="3162BCEC" w14:textId="77777777" w:rsidR="00E30640" w:rsidRDefault="00350FA0" w:rsidP="00F1171A">
      <w:p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S</w:t>
      </w:r>
      <w:r w:rsidR="00736399" w:rsidRPr="00736399">
        <w:rPr>
          <w:rFonts w:asciiTheme="minorHAnsi" w:eastAsia="Times New Roman" w:hAnsiTheme="minorHAnsi" w:cstheme="minorHAnsi"/>
        </w:rPr>
        <w:t xml:space="preserve">everal </w:t>
      </w:r>
      <w:r w:rsidR="00736399" w:rsidRPr="00F1171A">
        <w:rPr>
          <w:rFonts w:asciiTheme="minorHAnsi" w:eastAsia="Times New Roman" w:hAnsiTheme="minorHAnsi" w:cstheme="minorHAnsi"/>
          <w:bCs/>
        </w:rPr>
        <w:t>technology-led initiatives</w:t>
      </w:r>
      <w:r w:rsidR="00736399" w:rsidRPr="00736399">
        <w:rPr>
          <w:rFonts w:asciiTheme="minorHAnsi" w:eastAsia="Times New Roman" w:hAnsiTheme="minorHAnsi" w:cstheme="minorHAnsi"/>
        </w:rPr>
        <w:t xml:space="preserve"> </w:t>
      </w:r>
      <w:r>
        <w:rPr>
          <w:rFonts w:asciiTheme="minorHAnsi" w:eastAsia="Times New Roman" w:hAnsiTheme="minorHAnsi" w:cstheme="minorHAnsi"/>
        </w:rPr>
        <w:t xml:space="preserve">such as </w:t>
      </w:r>
      <w:r w:rsidRPr="00F1171A">
        <w:rPr>
          <w:rFonts w:asciiTheme="minorHAnsi" w:eastAsia="Times New Roman" w:hAnsiTheme="minorHAnsi" w:cstheme="minorHAnsi"/>
          <w:bCs/>
        </w:rPr>
        <w:t>Investor Risk Reduction Access Platform</w:t>
      </w:r>
      <w:r w:rsidRPr="00736399">
        <w:rPr>
          <w:rFonts w:asciiTheme="minorHAnsi" w:eastAsia="Times New Roman" w:hAnsiTheme="minorHAnsi" w:cstheme="minorHAnsi"/>
        </w:rPr>
        <w:t xml:space="preserve"> </w:t>
      </w:r>
      <w:r w:rsidRPr="00F1171A">
        <w:rPr>
          <w:rFonts w:asciiTheme="minorHAnsi" w:eastAsia="Times New Roman" w:hAnsiTheme="minorHAnsi" w:cstheme="minorHAnsi"/>
        </w:rPr>
        <w:t>and a</w:t>
      </w:r>
      <w:r w:rsidRPr="00736399">
        <w:rPr>
          <w:rFonts w:asciiTheme="minorHAnsi" w:eastAsia="Times New Roman" w:hAnsiTheme="minorHAnsi" w:cstheme="minorHAnsi"/>
        </w:rPr>
        <w:t xml:space="preserve"> </w:t>
      </w:r>
      <w:r w:rsidRPr="00F1171A">
        <w:rPr>
          <w:rFonts w:asciiTheme="minorHAnsi" w:eastAsia="Times New Roman" w:hAnsiTheme="minorHAnsi" w:cstheme="minorHAnsi"/>
          <w:bCs/>
        </w:rPr>
        <w:t>Unified Investor App</w:t>
      </w:r>
      <w:r>
        <w:rPr>
          <w:rFonts w:asciiTheme="minorHAnsi" w:eastAsia="Times New Roman" w:hAnsiTheme="minorHAnsi" w:cstheme="minorHAnsi"/>
          <w:bCs/>
        </w:rPr>
        <w:t xml:space="preserve"> </w:t>
      </w:r>
      <w:r>
        <w:rPr>
          <w:rFonts w:asciiTheme="minorHAnsi" w:eastAsia="Times New Roman" w:hAnsiTheme="minorHAnsi" w:cstheme="minorHAnsi"/>
        </w:rPr>
        <w:t xml:space="preserve">have </w:t>
      </w:r>
      <w:r w:rsidR="00736399" w:rsidRPr="00736399">
        <w:rPr>
          <w:rFonts w:asciiTheme="minorHAnsi" w:eastAsia="Times New Roman" w:hAnsiTheme="minorHAnsi" w:cstheme="minorHAnsi"/>
        </w:rPr>
        <w:t>strengthen</w:t>
      </w:r>
      <w:r w:rsidR="00736399" w:rsidRPr="00F1171A">
        <w:rPr>
          <w:rFonts w:asciiTheme="minorHAnsi" w:eastAsia="Times New Roman" w:hAnsiTheme="minorHAnsi" w:cstheme="minorHAnsi"/>
        </w:rPr>
        <w:t xml:space="preserve">ed </w:t>
      </w:r>
      <w:r w:rsidR="00736399" w:rsidRPr="00736399">
        <w:rPr>
          <w:rFonts w:asciiTheme="minorHAnsi" w:eastAsia="Times New Roman" w:hAnsiTheme="minorHAnsi" w:cstheme="minorHAnsi"/>
        </w:rPr>
        <w:t>investor protection and market efficiency</w:t>
      </w:r>
      <w:r>
        <w:rPr>
          <w:rFonts w:asciiTheme="minorHAnsi" w:eastAsia="Times New Roman" w:hAnsiTheme="minorHAnsi" w:cstheme="minorHAnsi"/>
        </w:rPr>
        <w:t xml:space="preserve">, he said, adding that it has led to </w:t>
      </w:r>
      <w:r w:rsidR="00736399" w:rsidRPr="00736399">
        <w:rPr>
          <w:rFonts w:asciiTheme="minorHAnsi" w:eastAsia="Times New Roman" w:hAnsiTheme="minorHAnsi" w:cstheme="minorHAnsi"/>
        </w:rPr>
        <w:t>consolidated access to holdings, transaction history, e-voting, and proxy advisory recommendations.</w:t>
      </w:r>
      <w:r w:rsidR="000359E6">
        <w:rPr>
          <w:rFonts w:asciiTheme="minorHAnsi" w:eastAsia="Times New Roman" w:hAnsiTheme="minorHAnsi" w:cstheme="minorHAnsi"/>
        </w:rPr>
        <w:t xml:space="preserve"> </w:t>
      </w:r>
      <w:r w:rsidR="000A1971">
        <w:rPr>
          <w:rFonts w:asciiTheme="minorHAnsi" w:eastAsia="Times New Roman" w:hAnsiTheme="minorHAnsi" w:cstheme="minorHAnsi"/>
        </w:rPr>
        <w:t>“</w:t>
      </w:r>
      <w:r>
        <w:rPr>
          <w:rFonts w:asciiTheme="minorHAnsi" w:eastAsia="Times New Roman" w:hAnsiTheme="minorHAnsi" w:cstheme="minorHAnsi"/>
        </w:rPr>
        <w:t xml:space="preserve">Grievance resolutions too have been streamlined </w:t>
      </w:r>
      <w:r w:rsidR="00736399" w:rsidRPr="00736399">
        <w:rPr>
          <w:rFonts w:asciiTheme="minorHAnsi" w:eastAsia="Times New Roman" w:hAnsiTheme="minorHAnsi" w:cstheme="minorHAnsi"/>
        </w:rPr>
        <w:t xml:space="preserve">with </w:t>
      </w:r>
      <w:r w:rsidR="00736399" w:rsidRPr="00F1171A">
        <w:rPr>
          <w:rFonts w:asciiTheme="minorHAnsi" w:eastAsia="Times New Roman" w:hAnsiTheme="minorHAnsi" w:cstheme="minorHAnsi"/>
          <w:bCs/>
        </w:rPr>
        <w:t>Digital Locker</w:t>
      </w:r>
      <w:r w:rsidR="00F1171A" w:rsidRPr="00F1171A">
        <w:rPr>
          <w:rFonts w:asciiTheme="minorHAnsi" w:eastAsia="Times New Roman" w:hAnsiTheme="minorHAnsi" w:cstheme="minorHAnsi"/>
        </w:rPr>
        <w:t xml:space="preserve"> a</w:t>
      </w:r>
      <w:r>
        <w:rPr>
          <w:rFonts w:asciiTheme="minorHAnsi" w:eastAsia="Times New Roman" w:hAnsiTheme="minorHAnsi" w:cstheme="minorHAnsi"/>
        </w:rPr>
        <w:t xml:space="preserve">nd an </w:t>
      </w:r>
      <w:r w:rsidR="00F1171A" w:rsidRPr="00F1171A">
        <w:rPr>
          <w:rFonts w:asciiTheme="minorHAnsi" w:eastAsia="Times New Roman" w:hAnsiTheme="minorHAnsi" w:cstheme="minorHAnsi"/>
        </w:rPr>
        <w:t>upgraded SEBI Complaints Redressal</w:t>
      </w:r>
      <w:r w:rsidR="00736399" w:rsidRPr="00F1171A">
        <w:rPr>
          <w:rFonts w:asciiTheme="minorHAnsi" w:eastAsia="Times New Roman" w:hAnsiTheme="minorHAnsi" w:cstheme="minorHAnsi"/>
          <w:bCs/>
        </w:rPr>
        <w:t xml:space="preserve"> System (SCORES)</w:t>
      </w:r>
      <w:r w:rsidR="000A1971">
        <w:rPr>
          <w:rFonts w:asciiTheme="minorHAnsi" w:eastAsia="Times New Roman" w:hAnsiTheme="minorHAnsi" w:cstheme="minorHAnsi"/>
          <w:bCs/>
        </w:rPr>
        <w:t>,” he added</w:t>
      </w:r>
      <w:r w:rsidR="00736399" w:rsidRPr="00736399">
        <w:rPr>
          <w:rFonts w:asciiTheme="minorHAnsi" w:eastAsia="Times New Roman" w:hAnsiTheme="minorHAnsi" w:cstheme="minorHAnsi"/>
        </w:rPr>
        <w:t>.</w:t>
      </w:r>
    </w:p>
    <w:p w14:paraId="33F66E98" w14:textId="77777777" w:rsidR="00E30640" w:rsidRPr="008E5435" w:rsidRDefault="00E30640" w:rsidP="00E30640">
      <w:pPr>
        <w:spacing w:before="240" w:after="240"/>
        <w:jc w:val="both"/>
        <w:rPr>
          <w:rFonts w:ascii="Calibri" w:eastAsia="Calibri" w:hAnsi="Calibri" w:cs="Calibri"/>
        </w:rPr>
      </w:pPr>
      <w:r w:rsidRPr="00914D43">
        <w:rPr>
          <w:rFonts w:asciiTheme="minorHAnsi" w:eastAsia="Calibri" w:hAnsiTheme="minorHAnsi" w:cstheme="minorHAnsi"/>
        </w:rPr>
        <w:t>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Securities and Exchanges Board of India (SEBI), the Insurance Regulatory and Development</w:t>
      </w:r>
      <w:r w:rsidRPr="008E5435">
        <w:rPr>
          <w:rFonts w:ascii="Calibri" w:eastAsia="Calibri" w:hAnsi="Calibri" w:cs="Calibri"/>
        </w:rPr>
        <w:t xml:space="preserve"> Authority of India (IRDAI) and the International Financial Services </w:t>
      </w:r>
      <w:proofErr w:type="spellStart"/>
      <w:r w:rsidRPr="008E5435">
        <w:rPr>
          <w:rFonts w:ascii="Calibri" w:eastAsia="Calibri" w:hAnsi="Calibri" w:cs="Calibri"/>
        </w:rPr>
        <w:t>Centres</w:t>
      </w:r>
      <w:proofErr w:type="spellEnd"/>
      <w:r w:rsidRPr="008E5435">
        <w:rPr>
          <w:rFonts w:ascii="Calibri" w:eastAsia="Calibri" w:hAnsi="Calibri" w:cs="Calibri"/>
        </w:rPr>
        <w:t xml:space="preserve"> Authority (IFSCA).</w:t>
      </w:r>
    </w:p>
    <w:p w14:paraId="3E58C62C" w14:textId="745F277B" w:rsidR="00736399" w:rsidRPr="000359E6" w:rsidRDefault="00736399" w:rsidP="000359E6">
      <w:pPr>
        <w:pStyle w:val="NoSpacing"/>
        <w:rPr>
          <w:rFonts w:asciiTheme="minorHAnsi" w:eastAsia="Times New Roman" w:hAnsiTheme="minorHAnsi" w:cstheme="minorHAnsi"/>
        </w:rPr>
      </w:pPr>
      <w:r w:rsidRPr="00350FA0">
        <w:rPr>
          <w:rFonts w:asciiTheme="minorHAnsi" w:eastAsia="Times New Roman" w:hAnsiTheme="minorHAnsi" w:cstheme="minorHAnsi"/>
        </w:rPr>
        <w:t>The session was moderated by Mr</w:t>
      </w:r>
      <w:r w:rsidR="004D2B84">
        <w:rPr>
          <w:rFonts w:asciiTheme="minorHAnsi" w:eastAsia="Times New Roman" w:hAnsiTheme="minorHAnsi" w:cstheme="minorHAnsi"/>
        </w:rPr>
        <w:t>.</w:t>
      </w:r>
      <w:r w:rsidRPr="00350FA0">
        <w:rPr>
          <w:rFonts w:asciiTheme="minorHAnsi" w:eastAsia="Times New Roman" w:hAnsiTheme="minorHAnsi" w:cstheme="minorHAnsi"/>
        </w:rPr>
        <w:t xml:space="preserve"> Uday Kotak, Founder, Kotak Mahindra Bank, and </w:t>
      </w:r>
      <w:r w:rsidR="00350FA0" w:rsidRPr="00350FA0">
        <w:rPr>
          <w:rFonts w:asciiTheme="minorHAnsi" w:eastAsia="Times New Roman" w:hAnsiTheme="minorHAnsi" w:cstheme="minorHAnsi"/>
        </w:rPr>
        <w:t xml:space="preserve">the </w:t>
      </w:r>
      <w:r w:rsidRPr="00350FA0">
        <w:rPr>
          <w:rFonts w:asciiTheme="minorHAnsi" w:eastAsia="Times New Roman" w:hAnsiTheme="minorHAnsi" w:cstheme="minorHAnsi"/>
        </w:rPr>
        <w:t>other panelists were Mr</w:t>
      </w:r>
      <w:r w:rsidR="00B45D29">
        <w:rPr>
          <w:rFonts w:asciiTheme="minorHAnsi" w:eastAsia="Times New Roman" w:hAnsiTheme="minorHAnsi" w:cstheme="minorHAnsi"/>
        </w:rPr>
        <w:t>.</w:t>
      </w:r>
      <w:r w:rsidRPr="00350FA0">
        <w:rPr>
          <w:rFonts w:asciiTheme="minorHAnsi" w:eastAsia="Times New Roman" w:hAnsiTheme="minorHAnsi" w:cstheme="minorHAnsi"/>
        </w:rPr>
        <w:t xml:space="preserve"> Tuang Lee Lim, Assistant Managing Director, Monetary Authority of Singapore, and Dr</w:t>
      </w:r>
      <w:r w:rsidR="00B45D29">
        <w:rPr>
          <w:rFonts w:asciiTheme="minorHAnsi" w:eastAsia="Times New Roman" w:hAnsiTheme="minorHAnsi" w:cstheme="minorHAnsi"/>
        </w:rPr>
        <w:t>.</w:t>
      </w:r>
      <w:r w:rsidRPr="00350FA0">
        <w:rPr>
          <w:rFonts w:asciiTheme="minorHAnsi" w:eastAsia="Times New Roman" w:hAnsiTheme="minorHAnsi" w:cstheme="minorHAnsi"/>
        </w:rPr>
        <w:t xml:space="preserve"> Marlene Amstad, Chairperson, FINMA - Swiss Financial Market Supervisory Authority.</w:t>
      </w:r>
    </w:p>
    <w:p w14:paraId="050102FF" w14:textId="0386EBFB" w:rsidR="00736399" w:rsidRPr="00736399" w:rsidRDefault="00350FA0" w:rsidP="00F1171A">
      <w:p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 xml:space="preserve">Talking about </w:t>
      </w:r>
      <w:r w:rsidR="004628DF">
        <w:rPr>
          <w:rFonts w:asciiTheme="minorHAnsi" w:eastAsia="Times New Roman" w:hAnsiTheme="minorHAnsi" w:cstheme="minorHAnsi"/>
        </w:rPr>
        <w:t xml:space="preserve">market efficiency, </w:t>
      </w:r>
      <w:r>
        <w:rPr>
          <w:rFonts w:asciiTheme="minorHAnsi" w:eastAsia="Times New Roman" w:hAnsiTheme="minorHAnsi" w:cstheme="minorHAnsi"/>
        </w:rPr>
        <w:t xml:space="preserve">Shri Pandey </w:t>
      </w:r>
      <w:r w:rsidR="004628DF">
        <w:rPr>
          <w:rFonts w:asciiTheme="minorHAnsi" w:eastAsia="Times New Roman" w:hAnsiTheme="minorHAnsi" w:cstheme="minorHAnsi"/>
        </w:rPr>
        <w:t>highlighted India’s transition to the T+1 settlement</w:t>
      </w:r>
      <w:r>
        <w:rPr>
          <w:rFonts w:asciiTheme="minorHAnsi" w:eastAsia="Times New Roman" w:hAnsiTheme="minorHAnsi" w:cstheme="minorHAnsi"/>
        </w:rPr>
        <w:t xml:space="preserve"> that has shortened the financial transaction settlement cycle</w:t>
      </w:r>
      <w:r w:rsidR="004628DF">
        <w:rPr>
          <w:rFonts w:asciiTheme="minorHAnsi" w:eastAsia="Times New Roman" w:hAnsiTheme="minorHAnsi" w:cstheme="minorHAnsi"/>
        </w:rPr>
        <w:t>, mak</w:t>
      </w:r>
      <w:r>
        <w:rPr>
          <w:rFonts w:asciiTheme="minorHAnsi" w:eastAsia="Times New Roman" w:hAnsiTheme="minorHAnsi" w:cstheme="minorHAnsi"/>
        </w:rPr>
        <w:t>ing</w:t>
      </w:r>
      <w:r w:rsidR="004628DF">
        <w:rPr>
          <w:rFonts w:asciiTheme="minorHAnsi" w:eastAsia="Times New Roman" w:hAnsiTheme="minorHAnsi" w:cstheme="minorHAnsi"/>
        </w:rPr>
        <w:t xml:space="preserve"> it one of</w:t>
      </w:r>
      <w:r w:rsidR="00736399" w:rsidRPr="00736399">
        <w:rPr>
          <w:rFonts w:asciiTheme="minorHAnsi" w:eastAsia="Times New Roman" w:hAnsiTheme="minorHAnsi" w:cstheme="minorHAnsi"/>
        </w:rPr>
        <w:t xml:space="preserve"> the fastest globally. </w:t>
      </w:r>
      <w:r w:rsidR="008315D1">
        <w:rPr>
          <w:rFonts w:asciiTheme="minorHAnsi" w:eastAsia="Times New Roman" w:hAnsiTheme="minorHAnsi" w:cstheme="minorHAnsi"/>
        </w:rPr>
        <w:t>He</w:t>
      </w:r>
      <w:r w:rsidR="00736399" w:rsidRPr="00736399">
        <w:rPr>
          <w:rFonts w:asciiTheme="minorHAnsi" w:eastAsia="Times New Roman" w:hAnsiTheme="minorHAnsi" w:cstheme="minorHAnsi"/>
        </w:rPr>
        <w:t xml:space="preserve"> also </w:t>
      </w:r>
      <w:r w:rsidR="008315D1">
        <w:rPr>
          <w:rFonts w:asciiTheme="minorHAnsi" w:eastAsia="Times New Roman" w:hAnsiTheme="minorHAnsi" w:cstheme="minorHAnsi"/>
        </w:rPr>
        <w:t>drew attention</w:t>
      </w:r>
      <w:r w:rsidR="00736399" w:rsidRPr="00736399">
        <w:rPr>
          <w:rFonts w:asciiTheme="minorHAnsi" w:eastAsia="Times New Roman" w:hAnsiTheme="minorHAnsi" w:cstheme="minorHAnsi"/>
        </w:rPr>
        <w:t xml:space="preserve"> to the expansion of </w:t>
      </w:r>
      <w:r w:rsidR="00736399" w:rsidRPr="00F1171A">
        <w:rPr>
          <w:rFonts w:asciiTheme="minorHAnsi" w:eastAsia="Times New Roman" w:hAnsiTheme="minorHAnsi" w:cstheme="minorHAnsi"/>
          <w:bCs/>
        </w:rPr>
        <w:t>Application Supported by Blocked Amount (ASBA)</w:t>
      </w:r>
      <w:r w:rsidR="00736399" w:rsidRPr="00736399">
        <w:rPr>
          <w:rFonts w:asciiTheme="minorHAnsi" w:eastAsia="Times New Roman" w:hAnsiTheme="minorHAnsi" w:cstheme="minorHAnsi"/>
        </w:rPr>
        <w:t xml:space="preserve"> through UPI for secondary markets, ensuring safer and smoother transactions.</w:t>
      </w:r>
    </w:p>
    <w:p w14:paraId="63A01584" w14:textId="136C6EE7" w:rsidR="00736399" w:rsidRPr="00736399" w:rsidRDefault="004628DF" w:rsidP="00F1171A">
      <w:pPr>
        <w:spacing w:before="100" w:beforeAutospacing="1" w:after="100" w:afterAutospacing="1" w:line="240" w:lineRule="auto"/>
        <w:rPr>
          <w:rFonts w:asciiTheme="minorHAnsi" w:eastAsia="Times New Roman" w:hAnsiTheme="minorHAnsi" w:cstheme="minorHAnsi"/>
        </w:rPr>
      </w:pPr>
      <w:r w:rsidRPr="00736399">
        <w:rPr>
          <w:rFonts w:asciiTheme="minorHAnsi" w:eastAsia="Times New Roman" w:hAnsiTheme="minorHAnsi" w:cstheme="minorHAnsi"/>
        </w:rPr>
        <w:t>SEBI</w:t>
      </w:r>
      <w:r w:rsidR="008315D1">
        <w:rPr>
          <w:rFonts w:asciiTheme="minorHAnsi" w:eastAsia="Times New Roman" w:hAnsiTheme="minorHAnsi" w:cstheme="minorHAnsi"/>
        </w:rPr>
        <w:t>, he said,</w:t>
      </w:r>
      <w:r w:rsidRPr="00736399">
        <w:rPr>
          <w:rFonts w:asciiTheme="minorHAnsi" w:eastAsia="Times New Roman" w:hAnsiTheme="minorHAnsi" w:cstheme="minorHAnsi"/>
        </w:rPr>
        <w:t xml:space="preserve"> has reduced compliance burdens while enhancing transparency</w:t>
      </w:r>
      <w:r w:rsidR="008315D1">
        <w:rPr>
          <w:rFonts w:asciiTheme="minorHAnsi" w:eastAsia="Times New Roman" w:hAnsiTheme="minorHAnsi" w:cstheme="minorHAnsi"/>
        </w:rPr>
        <w:t xml:space="preserve"> through the increased use of </w:t>
      </w:r>
      <w:r w:rsidR="00736399" w:rsidRPr="00F1171A">
        <w:rPr>
          <w:rFonts w:asciiTheme="minorHAnsi" w:eastAsia="Times New Roman" w:hAnsiTheme="minorHAnsi" w:cstheme="minorHAnsi"/>
          <w:bCs/>
        </w:rPr>
        <w:t>advanced analytics and AI-based models</w:t>
      </w:r>
      <w:r w:rsidR="00736399" w:rsidRPr="00736399">
        <w:rPr>
          <w:rFonts w:asciiTheme="minorHAnsi" w:eastAsia="Times New Roman" w:hAnsiTheme="minorHAnsi" w:cstheme="minorHAnsi"/>
        </w:rPr>
        <w:t xml:space="preserve"> to detect complex manipulation patterns and network-based </w:t>
      </w:r>
      <w:r>
        <w:rPr>
          <w:rFonts w:asciiTheme="minorHAnsi" w:eastAsia="Times New Roman" w:hAnsiTheme="minorHAnsi" w:cstheme="minorHAnsi"/>
        </w:rPr>
        <w:t>fraud</w:t>
      </w:r>
      <w:r w:rsidR="00736399" w:rsidRPr="00736399">
        <w:rPr>
          <w:rFonts w:asciiTheme="minorHAnsi" w:eastAsia="Times New Roman" w:hAnsiTheme="minorHAnsi" w:cstheme="minorHAnsi"/>
        </w:rPr>
        <w:t xml:space="preserve">. </w:t>
      </w:r>
      <w:r w:rsidR="008315D1">
        <w:rPr>
          <w:rFonts w:asciiTheme="minorHAnsi" w:eastAsia="Times New Roman" w:hAnsiTheme="minorHAnsi" w:cstheme="minorHAnsi"/>
        </w:rPr>
        <w:t xml:space="preserve">He also spotlighted the importance of </w:t>
      </w:r>
      <w:r w:rsidR="008315D1" w:rsidRPr="00F1171A">
        <w:rPr>
          <w:rFonts w:asciiTheme="minorHAnsi" w:eastAsia="Times New Roman" w:hAnsiTheme="minorHAnsi" w:cstheme="minorHAnsi"/>
          <w:bCs/>
        </w:rPr>
        <w:t>cybersecurity and operational resilience</w:t>
      </w:r>
      <w:r w:rsidR="008315D1">
        <w:rPr>
          <w:rFonts w:asciiTheme="minorHAnsi" w:eastAsia="Times New Roman" w:hAnsiTheme="minorHAnsi" w:cstheme="minorHAnsi"/>
          <w:bCs/>
        </w:rPr>
        <w:t xml:space="preserve">, and </w:t>
      </w:r>
      <w:proofErr w:type="spellStart"/>
      <w:r w:rsidR="008315D1">
        <w:rPr>
          <w:rFonts w:asciiTheme="minorHAnsi" w:eastAsia="Times New Roman" w:hAnsiTheme="minorHAnsi" w:cstheme="minorHAnsi"/>
        </w:rPr>
        <w:t>emphasised</w:t>
      </w:r>
      <w:proofErr w:type="spellEnd"/>
      <w:r w:rsidR="008315D1">
        <w:rPr>
          <w:rFonts w:asciiTheme="minorHAnsi" w:eastAsia="Times New Roman" w:hAnsiTheme="minorHAnsi" w:cstheme="minorHAnsi"/>
        </w:rPr>
        <w:t xml:space="preserve"> the need for </w:t>
      </w:r>
      <w:r w:rsidR="00736399" w:rsidRPr="00736399">
        <w:rPr>
          <w:rFonts w:asciiTheme="minorHAnsi" w:eastAsia="Times New Roman" w:hAnsiTheme="minorHAnsi" w:cstheme="minorHAnsi"/>
        </w:rPr>
        <w:t>continuous learning, adapting, and anticipating</w:t>
      </w:r>
      <w:r w:rsidR="008315D1">
        <w:rPr>
          <w:rFonts w:asciiTheme="minorHAnsi" w:eastAsia="Times New Roman" w:hAnsiTheme="minorHAnsi" w:cstheme="minorHAnsi"/>
        </w:rPr>
        <w:t xml:space="preserve"> to mitigate risks</w:t>
      </w:r>
      <w:r w:rsidR="00736399" w:rsidRPr="00736399">
        <w:rPr>
          <w:rFonts w:asciiTheme="minorHAnsi" w:eastAsia="Times New Roman" w:hAnsiTheme="minorHAnsi" w:cstheme="minorHAnsi"/>
        </w:rPr>
        <w:t>.</w:t>
      </w:r>
    </w:p>
    <w:p w14:paraId="25F4545D" w14:textId="462536D9" w:rsidR="00736399" w:rsidRPr="00736399" w:rsidRDefault="00A70E4D" w:rsidP="00F1171A">
      <w:p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Shri</w:t>
      </w:r>
      <w:r w:rsidR="000E07CB">
        <w:rPr>
          <w:rFonts w:asciiTheme="minorHAnsi" w:eastAsia="Times New Roman" w:hAnsiTheme="minorHAnsi" w:cstheme="minorHAnsi"/>
        </w:rPr>
        <w:t xml:space="preserve"> Pandey</w:t>
      </w:r>
      <w:r>
        <w:rPr>
          <w:rFonts w:asciiTheme="minorHAnsi" w:eastAsia="Times New Roman" w:hAnsiTheme="minorHAnsi" w:cstheme="minorHAnsi"/>
        </w:rPr>
        <w:t xml:space="preserve"> said</w:t>
      </w:r>
      <w:r w:rsidR="00736399" w:rsidRPr="00736399">
        <w:rPr>
          <w:rFonts w:asciiTheme="minorHAnsi" w:eastAsia="Times New Roman" w:hAnsiTheme="minorHAnsi" w:cstheme="minorHAnsi"/>
        </w:rPr>
        <w:t xml:space="preserve"> that the future of India’s capital markets depend</w:t>
      </w:r>
      <w:r w:rsidR="00E30640">
        <w:rPr>
          <w:rFonts w:asciiTheme="minorHAnsi" w:eastAsia="Times New Roman" w:hAnsiTheme="minorHAnsi" w:cstheme="minorHAnsi"/>
        </w:rPr>
        <w:t>ed</w:t>
      </w:r>
      <w:r w:rsidR="00736399" w:rsidRPr="00736399">
        <w:rPr>
          <w:rFonts w:asciiTheme="minorHAnsi" w:eastAsia="Times New Roman" w:hAnsiTheme="minorHAnsi" w:cstheme="minorHAnsi"/>
        </w:rPr>
        <w:t xml:space="preserve"> on </w:t>
      </w:r>
      <w:r w:rsidR="00736399" w:rsidRPr="00F1171A">
        <w:rPr>
          <w:rFonts w:asciiTheme="minorHAnsi" w:eastAsia="Times New Roman" w:hAnsiTheme="minorHAnsi" w:cstheme="minorHAnsi"/>
          <w:bCs/>
        </w:rPr>
        <w:t>collaboration between regulators, market infrastructure institutions, intermediaries, and fintech innovators</w:t>
      </w:r>
      <w:r w:rsidR="00736399" w:rsidRPr="00736399">
        <w:rPr>
          <w:rFonts w:asciiTheme="minorHAnsi" w:eastAsia="Times New Roman" w:hAnsiTheme="minorHAnsi" w:cstheme="minorHAnsi"/>
        </w:rPr>
        <w:t>.</w:t>
      </w:r>
      <w:r w:rsidR="00F1171A" w:rsidRPr="00F1171A">
        <w:rPr>
          <w:rFonts w:asciiTheme="minorHAnsi" w:eastAsia="Times New Roman" w:hAnsiTheme="minorHAnsi" w:cstheme="minorHAnsi"/>
        </w:rPr>
        <w:t xml:space="preserve"> </w:t>
      </w:r>
      <w:r w:rsidR="00736399" w:rsidRPr="00736399">
        <w:rPr>
          <w:rFonts w:asciiTheme="minorHAnsi" w:eastAsia="Times New Roman" w:hAnsiTheme="minorHAnsi" w:cstheme="minorHAnsi"/>
        </w:rPr>
        <w:t xml:space="preserve">“The collaboration between fintech innovation and regulatory foresight will determine not just how fast we grow, but how safely we grow,” </w:t>
      </w:r>
      <w:r w:rsidR="00F1171A" w:rsidRPr="00F1171A">
        <w:rPr>
          <w:rFonts w:asciiTheme="minorHAnsi" w:eastAsia="Times New Roman" w:hAnsiTheme="minorHAnsi" w:cstheme="minorHAnsi"/>
        </w:rPr>
        <w:t>he added.</w:t>
      </w:r>
    </w:p>
    <w:p w14:paraId="1A32C6D6" w14:textId="77777777" w:rsidR="005E1D99" w:rsidRPr="008E5435" w:rsidRDefault="005E1D99" w:rsidP="005E1D99">
      <w:pPr>
        <w:spacing w:after="160" w:line="256" w:lineRule="auto"/>
        <w:jc w:val="both"/>
        <w:rPr>
          <w:rFonts w:ascii="Calibri" w:eastAsia="Cambria" w:hAnsi="Calibri" w:cs="Calibri"/>
          <w:b/>
        </w:rPr>
      </w:pPr>
      <w:r w:rsidRPr="008E5435">
        <w:rPr>
          <w:rFonts w:ascii="Calibri" w:eastAsia="Cambria" w:hAnsi="Calibri" w:cs="Calibri"/>
          <w:b/>
        </w:rPr>
        <w:lastRenderedPageBreak/>
        <w:t>-------------------------------------</w:t>
      </w:r>
    </w:p>
    <w:p w14:paraId="2902AFC6" w14:textId="77777777" w:rsidR="005E1D99" w:rsidRPr="008E5435" w:rsidRDefault="005E1D99" w:rsidP="005E1D99">
      <w:pPr>
        <w:jc w:val="both"/>
        <w:rPr>
          <w:rFonts w:ascii="Garamond" w:eastAsia="Garamond" w:hAnsi="Garamond" w:cs="Garamond"/>
        </w:rPr>
      </w:pPr>
      <w:r w:rsidRPr="008E5435">
        <w:rPr>
          <w:rFonts w:ascii="Garamond" w:eastAsia="Garamond" w:hAnsi="Garamond" w:cs="Garamond"/>
        </w:rPr>
        <w:t xml:space="preserve">For more information on GFF 2025 please visit: </w:t>
      </w:r>
      <w:hyperlink r:id="rId10">
        <w:r w:rsidRPr="008E5435">
          <w:rPr>
            <w:rFonts w:ascii="Garamond" w:eastAsia="Garamond" w:hAnsi="Garamond" w:cs="Garamond"/>
            <w:color w:val="000000"/>
            <w:u w:val="single"/>
          </w:rPr>
          <w:t>https://www.globalfintechfest.com/</w:t>
        </w:r>
      </w:hyperlink>
    </w:p>
    <w:p w14:paraId="671E02F6" w14:textId="77777777" w:rsidR="005E1D99" w:rsidRPr="008E5435" w:rsidRDefault="005E1D99" w:rsidP="005E1D99">
      <w:pPr>
        <w:jc w:val="both"/>
        <w:rPr>
          <w:rFonts w:ascii="Garamond" w:eastAsia="Garamond" w:hAnsi="Garamond" w:cs="Garamond"/>
        </w:rPr>
      </w:pPr>
      <w:r w:rsidRPr="008E5435">
        <w:rPr>
          <w:rFonts w:ascii="Garamond" w:eastAsia="Garamond" w:hAnsi="Garamond" w:cs="Garamond"/>
          <w:noProof/>
          <w:lang w:val="en-GB" w:eastAsia="en-GB"/>
        </w:rPr>
        <w:drawing>
          <wp:inline distT="0" distB="0" distL="0" distR="0" wp14:anchorId="0F8BCBCB" wp14:editId="0115F292">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056494E0" w14:textId="77777777" w:rsidR="005E1D99" w:rsidRPr="008E5435" w:rsidRDefault="005E1D99" w:rsidP="005E1D99">
      <w:pPr>
        <w:spacing w:after="160" w:line="256" w:lineRule="auto"/>
        <w:jc w:val="both"/>
        <w:rPr>
          <w:rFonts w:ascii="Calibri" w:eastAsia="Cambria" w:hAnsi="Calibri" w:cs="Calibri"/>
          <w:b/>
        </w:rPr>
      </w:pPr>
    </w:p>
    <w:p w14:paraId="7EB0125D" w14:textId="77777777" w:rsidR="005E1D99" w:rsidRPr="008E5435" w:rsidRDefault="005E1D99" w:rsidP="005E1D99">
      <w:pPr>
        <w:spacing w:after="160" w:line="256" w:lineRule="auto"/>
        <w:jc w:val="both"/>
        <w:rPr>
          <w:rFonts w:ascii="Calibri" w:eastAsia="Cambria" w:hAnsi="Calibri" w:cs="Calibri"/>
          <w:b/>
        </w:rPr>
      </w:pPr>
    </w:p>
    <w:p w14:paraId="43BD7471" w14:textId="77777777" w:rsidR="005E1D99" w:rsidRPr="008E5435" w:rsidRDefault="005E1D99" w:rsidP="005E1D99">
      <w:pPr>
        <w:spacing w:line="256" w:lineRule="auto"/>
        <w:jc w:val="both"/>
        <w:rPr>
          <w:rFonts w:ascii="Garamond" w:eastAsia="Garamond" w:hAnsi="Garamond" w:cs="Garamond"/>
          <w:b/>
        </w:rPr>
      </w:pPr>
      <w:r w:rsidRPr="008E5435">
        <w:rPr>
          <w:rFonts w:ascii="Garamond" w:eastAsia="Garamond" w:hAnsi="Garamond" w:cs="Garamond"/>
          <w:b/>
        </w:rPr>
        <w:t>About Payments Council of India (PCI)</w:t>
      </w:r>
    </w:p>
    <w:p w14:paraId="5628FA3A" w14:textId="77777777" w:rsidR="005E1D99" w:rsidRPr="008E5435" w:rsidRDefault="005E1D99" w:rsidP="005E1D99">
      <w:pPr>
        <w:jc w:val="both"/>
        <w:rPr>
          <w:rFonts w:ascii="Garamond" w:eastAsia="Garamond" w:hAnsi="Garamond" w:cs="Garamond"/>
        </w:rPr>
      </w:pPr>
      <w:r w:rsidRPr="008E5435">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7D14617A" w14:textId="77777777" w:rsidR="005E1D99" w:rsidRPr="008E5435" w:rsidRDefault="005E1D99" w:rsidP="005E1D99">
      <w:pPr>
        <w:spacing w:line="256" w:lineRule="auto"/>
        <w:jc w:val="both"/>
        <w:rPr>
          <w:rFonts w:ascii="Garamond" w:eastAsia="Garamond" w:hAnsi="Garamond" w:cs="Garamond"/>
        </w:rPr>
      </w:pPr>
      <w:r w:rsidRPr="008E5435">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11EC806E" w14:textId="77777777" w:rsidR="005E1D99" w:rsidRPr="008E5435" w:rsidRDefault="005E1D99" w:rsidP="005E1D99">
      <w:pPr>
        <w:spacing w:after="160" w:line="256" w:lineRule="auto"/>
        <w:jc w:val="both"/>
        <w:rPr>
          <w:rFonts w:ascii="Calibri" w:eastAsia="Cambria" w:hAnsi="Calibri" w:cs="Calibri"/>
          <w:b/>
        </w:rPr>
      </w:pPr>
    </w:p>
    <w:p w14:paraId="3907C039" w14:textId="77777777" w:rsidR="005E1D99" w:rsidRPr="008E5435" w:rsidRDefault="005E1D99" w:rsidP="005E1D99">
      <w:pPr>
        <w:spacing w:line="256" w:lineRule="auto"/>
        <w:jc w:val="both"/>
        <w:rPr>
          <w:rFonts w:ascii="Garamond" w:eastAsia="Garamond" w:hAnsi="Garamond" w:cs="Garamond"/>
          <w:b/>
        </w:rPr>
      </w:pPr>
      <w:r w:rsidRPr="008E5435">
        <w:rPr>
          <w:rFonts w:ascii="Garamond" w:eastAsia="Garamond" w:hAnsi="Garamond" w:cs="Garamond"/>
          <w:b/>
        </w:rPr>
        <w:t>About Fintech Convergence Council (FCC)</w:t>
      </w:r>
    </w:p>
    <w:p w14:paraId="79661063" w14:textId="77777777" w:rsidR="005E1D99" w:rsidRPr="008E5435" w:rsidRDefault="005E1D99" w:rsidP="005E1D99">
      <w:pPr>
        <w:jc w:val="both"/>
        <w:rPr>
          <w:rFonts w:ascii="Garamond" w:eastAsia="Garamond" w:hAnsi="Garamond" w:cs="Garamond"/>
        </w:rPr>
      </w:pPr>
      <w:r w:rsidRPr="008E5435">
        <w:rPr>
          <w:rFonts w:ascii="Garamond" w:eastAsia="Garamond" w:hAnsi="Garamond" w:cs="Garamond"/>
        </w:rPr>
        <w:t xml:space="preserve">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w:t>
      </w:r>
      <w:proofErr w:type="spellStart"/>
      <w:r w:rsidRPr="008E5435">
        <w:rPr>
          <w:rFonts w:ascii="Garamond" w:eastAsia="Garamond" w:hAnsi="Garamond" w:cs="Garamond"/>
        </w:rPr>
        <w:t>RegTech</w:t>
      </w:r>
      <w:proofErr w:type="spellEnd"/>
      <w:r w:rsidRPr="008E5435">
        <w:rPr>
          <w:rFonts w:ascii="Garamond" w:eastAsia="Garamond" w:hAnsi="Garamond" w:cs="Garamond"/>
        </w:rPr>
        <w:t>, and credit bureaus.</w:t>
      </w:r>
    </w:p>
    <w:p w14:paraId="5B8FA352" w14:textId="77777777" w:rsidR="005E1D99" w:rsidRPr="008E5435" w:rsidRDefault="005E1D99" w:rsidP="005E1D99">
      <w:pPr>
        <w:jc w:val="both"/>
        <w:rPr>
          <w:rFonts w:ascii="Garamond" w:eastAsia="Garamond" w:hAnsi="Garamond" w:cs="Garamond"/>
        </w:rPr>
      </w:pPr>
      <w:r w:rsidRPr="008E5435">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30795649" w14:textId="77777777" w:rsidR="005E1D99" w:rsidRPr="008E5435" w:rsidRDefault="005E1D99" w:rsidP="005E1D99">
      <w:pPr>
        <w:spacing w:line="256" w:lineRule="auto"/>
        <w:jc w:val="both"/>
        <w:rPr>
          <w:rFonts w:ascii="Garamond" w:eastAsia="Garamond" w:hAnsi="Garamond" w:cs="Garamond"/>
        </w:rPr>
      </w:pPr>
      <w:r w:rsidRPr="008E5435">
        <w:rPr>
          <w:rFonts w:ascii="Garamond" w:eastAsia="Garamond" w:hAnsi="Garamond" w:cs="Garamond"/>
        </w:rPr>
        <w:t>In addition to policy advocacy, FCC also focuses on knowledge sharing, strengthening consumer education, and promoting responsible finance through awareness-building initiatives on customer protection, digital literacy, and best practices in fintech.</w:t>
      </w:r>
    </w:p>
    <w:p w14:paraId="39EFEBA9" w14:textId="77777777" w:rsidR="005E1D99" w:rsidRPr="008E5435" w:rsidRDefault="005E1D99" w:rsidP="005E1D99"/>
    <w:p w14:paraId="443094A0" w14:textId="77777777" w:rsidR="005E1D99" w:rsidRDefault="005E1D99" w:rsidP="005E1D99"/>
    <w:p w14:paraId="16C29CFD" w14:textId="77777777" w:rsidR="006C2741" w:rsidRDefault="006C2741"/>
    <w:sectPr w:rsidR="006946F2">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006E" w14:textId="77777777" w:rsidR="007D44BE" w:rsidRDefault="000A1971">
      <w:pPr>
        <w:spacing w:line="240" w:lineRule="auto"/>
      </w:pPr>
      <w:r>
        <w:separator/>
      </w:r>
    </w:p>
  </w:endnote>
  <w:endnote w:type="continuationSeparator" w:id="0">
    <w:p w14:paraId="13139BF6" w14:textId="77777777" w:rsidR="007D44BE" w:rsidRDefault="000A1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0C4C" w14:textId="77777777" w:rsidR="007D44BE" w:rsidRDefault="000A1971">
      <w:pPr>
        <w:spacing w:line="240" w:lineRule="auto"/>
      </w:pPr>
      <w:r>
        <w:separator/>
      </w:r>
    </w:p>
  </w:footnote>
  <w:footnote w:type="continuationSeparator" w:id="0">
    <w:p w14:paraId="1B063C32" w14:textId="77777777" w:rsidR="007D44BE" w:rsidRDefault="000A19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6F44" w14:textId="77777777" w:rsidR="006C2741" w:rsidRPr="00F02D56" w:rsidRDefault="004628DF" w:rsidP="00F02D56">
    <w:pPr>
      <w:jc w:val="center"/>
      <w:rPr>
        <w:lang w:val="en-IN"/>
      </w:rPr>
    </w:pPr>
    <w:r w:rsidRPr="005F4FD5">
      <w:rPr>
        <w:noProof/>
        <w:lang w:val="en-GB" w:eastAsia="en-GB"/>
      </w:rPr>
      <w:drawing>
        <wp:inline distT="0" distB="0" distL="0" distR="0" wp14:anchorId="5936FF17" wp14:editId="2DE4ECE0">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324469F2" w14:textId="77777777" w:rsidR="006C2741" w:rsidRDefault="006C2741"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20D1"/>
    <w:multiLevelType w:val="multilevel"/>
    <w:tmpl w:val="6A9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3A4C"/>
    <w:multiLevelType w:val="multilevel"/>
    <w:tmpl w:val="729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013847">
    <w:abstractNumId w:val="1"/>
  </w:num>
  <w:num w:numId="2" w16cid:durableId="184847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99"/>
    <w:rsid w:val="000359E6"/>
    <w:rsid w:val="000A1971"/>
    <w:rsid w:val="000E07CB"/>
    <w:rsid w:val="00332F8A"/>
    <w:rsid w:val="00350FA0"/>
    <w:rsid w:val="004174AC"/>
    <w:rsid w:val="004628DF"/>
    <w:rsid w:val="004D2B84"/>
    <w:rsid w:val="005E1D99"/>
    <w:rsid w:val="00670870"/>
    <w:rsid w:val="00724A0E"/>
    <w:rsid w:val="00736399"/>
    <w:rsid w:val="007921DC"/>
    <w:rsid w:val="007D44BE"/>
    <w:rsid w:val="008148CD"/>
    <w:rsid w:val="008315D1"/>
    <w:rsid w:val="008F6EA8"/>
    <w:rsid w:val="00914D43"/>
    <w:rsid w:val="00A70E4D"/>
    <w:rsid w:val="00B45D29"/>
    <w:rsid w:val="00B6469F"/>
    <w:rsid w:val="00C3314D"/>
    <w:rsid w:val="00E30640"/>
    <w:rsid w:val="00EB5991"/>
    <w:rsid w:val="00F1171A"/>
    <w:rsid w:val="00F25FDE"/>
    <w:rsid w:val="00F3346B"/>
    <w:rsid w:val="00FD0F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7285"/>
  <w15:chartTrackingRefBased/>
  <w15:docId w15:val="{D55C87F8-8259-407B-93C4-2F32267F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1D99"/>
    <w:pPr>
      <w:spacing w:after="0" w:line="276" w:lineRule="auto"/>
    </w:pPr>
    <w:rPr>
      <w:rFonts w:ascii="Arial" w:eastAsia="Arial" w:hAnsi="Arial" w:cs="Arial"/>
    </w:rPr>
  </w:style>
  <w:style w:type="paragraph" w:styleId="Heading3">
    <w:name w:val="heading 3"/>
    <w:basedOn w:val="Normal"/>
    <w:link w:val="Heading3Char"/>
    <w:uiPriority w:val="9"/>
    <w:qFormat/>
    <w:rsid w:val="007363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6399"/>
    <w:rPr>
      <w:i/>
      <w:iCs/>
    </w:rPr>
  </w:style>
  <w:style w:type="character" w:customStyle="1" w:styleId="Heading3Char">
    <w:name w:val="Heading 3 Char"/>
    <w:basedOn w:val="DefaultParagraphFont"/>
    <w:link w:val="Heading3"/>
    <w:uiPriority w:val="9"/>
    <w:rsid w:val="007363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63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399"/>
    <w:rPr>
      <w:b/>
      <w:bCs/>
    </w:rPr>
  </w:style>
  <w:style w:type="paragraph" w:styleId="NoSpacing">
    <w:name w:val="No Spacing"/>
    <w:uiPriority w:val="1"/>
    <w:qFormat/>
    <w:rsid w:val="000359E6"/>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21">
      <w:bodyDiv w:val="1"/>
      <w:marLeft w:val="0"/>
      <w:marRight w:val="0"/>
      <w:marTop w:val="0"/>
      <w:marBottom w:val="0"/>
      <w:divBdr>
        <w:top w:val="none" w:sz="0" w:space="0" w:color="auto"/>
        <w:left w:val="none" w:sz="0" w:space="0" w:color="auto"/>
        <w:bottom w:val="none" w:sz="0" w:space="0" w:color="auto"/>
        <w:right w:val="none" w:sz="0" w:space="0" w:color="auto"/>
      </w:divBdr>
    </w:div>
    <w:div w:id="1509714223">
      <w:bodyDiv w:val="1"/>
      <w:marLeft w:val="0"/>
      <w:marRight w:val="0"/>
      <w:marTop w:val="0"/>
      <w:marBottom w:val="0"/>
      <w:divBdr>
        <w:top w:val="none" w:sz="0" w:space="0" w:color="auto"/>
        <w:left w:val="none" w:sz="0" w:space="0" w:color="auto"/>
        <w:bottom w:val="none" w:sz="0" w:space="0" w:color="auto"/>
        <w:right w:val="none" w:sz="0" w:space="0" w:color="auto"/>
      </w:divBdr>
      <w:divsChild>
        <w:div w:id="146068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7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3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35AA582B055468E6E62AAE4D21019" ma:contentTypeVersion="16" ma:contentTypeDescription="Create a new document." ma:contentTypeScope="" ma:versionID="deadc80f47a3396ce1ccfb0375aac1cb">
  <xsd:schema xmlns:xsd="http://www.w3.org/2001/XMLSchema" xmlns:xs="http://www.w3.org/2001/XMLSchema" xmlns:p="http://schemas.microsoft.com/office/2006/metadata/properties" xmlns:ns3="2cba81ed-b5e1-4811-b9ac-e2d40d0351ba" xmlns:ns4="212f7da4-ad89-4800-9fb8-89e331007dd7" targetNamespace="http://schemas.microsoft.com/office/2006/metadata/properties" ma:root="true" ma:fieldsID="233526af7707a70df62f16ebc3605f09" ns3:_="" ns4:_="">
    <xsd:import namespace="2cba81ed-b5e1-4811-b9ac-e2d40d0351ba"/>
    <xsd:import namespace="212f7da4-ad89-4800-9fb8-89e331007d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81ed-b5e1-4811-b9ac-e2d40d035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f7da4-ad89-4800-9fb8-89e331007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CC235-F97C-4E16-9CEE-4550B509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a81ed-b5e1-4811-b9ac-e2d40d0351ba"/>
    <ds:schemaRef ds:uri="212f7da4-ad89-4800-9fb8-89e33100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CAA4B-6A76-4034-AA5C-12A8BC891BFE}">
  <ds:schemaRefs>
    <ds:schemaRef ds:uri="http://schemas.microsoft.com/sharepoint/v3/contenttype/forms"/>
  </ds:schemaRefs>
</ds:datastoreItem>
</file>

<file path=customXml/itemProps3.xml><?xml version="1.0" encoding="utf-8"?>
<ds:datastoreItem xmlns:ds="http://schemas.openxmlformats.org/officeDocument/2006/customXml" ds:itemID="{28884CCE-DE2E-4DAC-B59D-92AC958CC7BA}">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2cba81ed-b5e1-4811-b9ac-e2d40d0351ba"/>
    <ds:schemaRef ds:uri="http://schemas.microsoft.com/office/infopath/2007/PartnerControls"/>
    <ds:schemaRef ds:uri="212f7da4-ad89-4800-9fb8-89e331007d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Besoya</dc:creator>
  <cp:keywords/>
  <dc:description/>
  <cp:lastModifiedBy>Nilanjan Hajra</cp:lastModifiedBy>
  <cp:revision>2</cp:revision>
  <dcterms:created xsi:type="dcterms:W3CDTF">2025-10-08T10:19:00Z</dcterms:created>
  <dcterms:modified xsi:type="dcterms:W3CDTF">2025-10-08T10:19:00Z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d571d38e-73b1-4c68-bd24-1a1f6da6bd98</vt:lpwstr>
  </property>
  <property fmtid="{D5CDD505-2E9C-101B-9397-08002B2CF9AE}" pid="3" name="ContentTypeId">
    <vt:lpwstr>0x01010031635AA582B055468E6E62AAE4D21019</vt:lpwstr>
  </property>
</Properties>
</file>